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highlight w:val="yellow"/>
        </w:rPr>
      </w:pPr>
      <w:bookmarkStart w:id="0" w:name="_Hlk24613880"/>
    </w:p>
    <w:p>
      <w:pPr>
        <w:spacing w:line="276" w:lineRule="auto"/>
        <w:jc w:val="center"/>
        <w:rPr>
          <w:rFonts w:ascii="仿宋" w:hAnsi="仿宋" w:eastAsia="仿宋" w:cs="Times New Roman"/>
          <w:b/>
          <w:color w:val="000000"/>
          <w:w w:val="80"/>
          <w:sz w:val="72"/>
          <w:szCs w:val="72"/>
          <w:highlight w:val="yellow"/>
        </w:rPr>
      </w:pPr>
    </w:p>
    <w:p>
      <w:pPr>
        <w:spacing w:line="276" w:lineRule="auto"/>
        <w:jc w:val="center"/>
        <w:rPr>
          <w:rFonts w:ascii="仿宋" w:hAnsi="仿宋" w:eastAsia="仿宋" w:cs="Times New Roman"/>
          <w:b/>
          <w:color w:val="000000"/>
          <w:w w:val="80"/>
          <w:sz w:val="64"/>
          <w:szCs w:val="64"/>
          <w:highlight w:val="none"/>
        </w:rPr>
      </w:pPr>
      <w:r>
        <w:rPr>
          <w:rFonts w:hint="eastAsia" w:ascii="仿宋" w:hAnsi="仿宋" w:eastAsia="仿宋" w:cs="Times New Roman"/>
          <w:b/>
          <w:color w:val="000000"/>
          <w:w w:val="80"/>
          <w:sz w:val="64"/>
          <w:szCs w:val="64"/>
          <w:highlight w:val="none"/>
        </w:rPr>
        <w:t>金华凯力特自动化科技有限公司</w:t>
      </w:r>
    </w:p>
    <w:p>
      <w:pPr>
        <w:spacing w:line="276" w:lineRule="auto"/>
        <w:jc w:val="center"/>
        <w:rPr>
          <w:rFonts w:ascii="宋体" w:hAnsi="宋体" w:eastAsia="宋体" w:cs="宋体"/>
          <w:b/>
          <w:sz w:val="52"/>
          <w:szCs w:val="52"/>
          <w:highlight w:val="none"/>
        </w:rPr>
      </w:pPr>
      <w:r>
        <w:rPr>
          <w:rFonts w:hint="eastAsia" w:ascii="宋体" w:hAnsi="宋体" w:eastAsia="宋体" w:cs="宋体"/>
          <w:b/>
          <w:sz w:val="52"/>
          <w:szCs w:val="52"/>
          <w:highlight w:val="none"/>
        </w:rPr>
        <w:t xml:space="preserve"> </w:t>
      </w:r>
    </w:p>
    <w:p>
      <w:pPr>
        <w:spacing w:line="276" w:lineRule="auto"/>
        <w:jc w:val="center"/>
        <w:rPr>
          <w:rFonts w:cs="宋体" w:asciiTheme="majorEastAsia" w:hAnsiTheme="majorEastAsia" w:eastAsiaTheme="majorEastAsia"/>
          <w:b/>
          <w:sz w:val="52"/>
          <w:szCs w:val="52"/>
          <w:highlight w:val="none"/>
        </w:rPr>
      </w:pPr>
      <w:r>
        <w:rPr>
          <w:rFonts w:hint="eastAsia" w:cs="宋体" w:asciiTheme="majorEastAsia" w:hAnsiTheme="majorEastAsia" w:eastAsiaTheme="majorEastAsia"/>
          <w:b/>
          <w:sz w:val="52"/>
          <w:szCs w:val="52"/>
          <w:highlight w:val="none"/>
        </w:rPr>
        <w:t>社</w:t>
      </w:r>
    </w:p>
    <w:p>
      <w:pPr>
        <w:spacing w:line="276" w:lineRule="auto"/>
        <w:jc w:val="center"/>
        <w:rPr>
          <w:rFonts w:cs="宋体" w:asciiTheme="majorEastAsia" w:hAnsiTheme="majorEastAsia" w:eastAsiaTheme="majorEastAsia"/>
          <w:b/>
          <w:sz w:val="52"/>
          <w:szCs w:val="52"/>
          <w:highlight w:val="none"/>
        </w:rPr>
      </w:pPr>
      <w:r>
        <w:rPr>
          <w:rFonts w:hint="eastAsia" w:cs="宋体" w:asciiTheme="majorEastAsia" w:hAnsiTheme="majorEastAsia" w:eastAsiaTheme="majorEastAsia"/>
          <w:b/>
          <w:sz w:val="52"/>
          <w:szCs w:val="52"/>
          <w:highlight w:val="none"/>
        </w:rPr>
        <w:t>会</w:t>
      </w:r>
    </w:p>
    <w:p>
      <w:pPr>
        <w:spacing w:line="276" w:lineRule="auto"/>
        <w:jc w:val="center"/>
        <w:rPr>
          <w:rFonts w:cs="宋体" w:asciiTheme="majorEastAsia" w:hAnsiTheme="majorEastAsia" w:eastAsiaTheme="majorEastAsia"/>
          <w:b/>
          <w:sz w:val="52"/>
          <w:szCs w:val="52"/>
          <w:highlight w:val="none"/>
        </w:rPr>
      </w:pPr>
      <w:r>
        <w:rPr>
          <w:rFonts w:hint="eastAsia" w:cs="宋体" w:asciiTheme="majorEastAsia" w:hAnsiTheme="majorEastAsia" w:eastAsiaTheme="majorEastAsia"/>
          <w:b/>
          <w:sz w:val="52"/>
          <w:szCs w:val="52"/>
          <w:highlight w:val="none"/>
        </w:rPr>
        <w:t>责</w:t>
      </w:r>
    </w:p>
    <w:p>
      <w:pPr>
        <w:spacing w:line="276" w:lineRule="auto"/>
        <w:jc w:val="center"/>
        <w:rPr>
          <w:rFonts w:cs="宋体" w:asciiTheme="majorEastAsia" w:hAnsiTheme="majorEastAsia" w:eastAsiaTheme="majorEastAsia"/>
          <w:b/>
          <w:sz w:val="52"/>
          <w:szCs w:val="52"/>
          <w:highlight w:val="none"/>
        </w:rPr>
      </w:pPr>
      <w:r>
        <w:rPr>
          <w:rFonts w:hint="eastAsia" w:cs="宋体" w:asciiTheme="majorEastAsia" w:hAnsiTheme="majorEastAsia" w:eastAsiaTheme="majorEastAsia"/>
          <w:b/>
          <w:sz w:val="52"/>
          <w:szCs w:val="52"/>
          <w:highlight w:val="none"/>
        </w:rPr>
        <w:t>任</w:t>
      </w:r>
    </w:p>
    <w:p>
      <w:pPr>
        <w:spacing w:line="276" w:lineRule="auto"/>
        <w:jc w:val="center"/>
        <w:rPr>
          <w:rFonts w:cs="宋体" w:asciiTheme="majorEastAsia" w:hAnsiTheme="majorEastAsia" w:eastAsiaTheme="majorEastAsia"/>
          <w:b/>
          <w:sz w:val="52"/>
          <w:szCs w:val="52"/>
          <w:highlight w:val="none"/>
        </w:rPr>
      </w:pPr>
      <w:r>
        <w:rPr>
          <w:rFonts w:hint="eastAsia" w:cs="宋体" w:asciiTheme="majorEastAsia" w:hAnsiTheme="majorEastAsia" w:eastAsiaTheme="majorEastAsia"/>
          <w:b/>
          <w:sz w:val="52"/>
          <w:szCs w:val="52"/>
          <w:highlight w:val="none"/>
        </w:rPr>
        <w:t>报</w:t>
      </w:r>
    </w:p>
    <w:p>
      <w:pPr>
        <w:spacing w:line="276" w:lineRule="auto"/>
        <w:jc w:val="center"/>
        <w:rPr>
          <w:rFonts w:cs="宋体" w:asciiTheme="majorEastAsia" w:hAnsiTheme="majorEastAsia" w:eastAsiaTheme="majorEastAsia"/>
          <w:b/>
          <w:sz w:val="52"/>
          <w:szCs w:val="52"/>
          <w:highlight w:val="none"/>
        </w:rPr>
      </w:pPr>
      <w:r>
        <w:rPr>
          <w:rFonts w:hint="eastAsia" w:cs="宋体" w:asciiTheme="majorEastAsia" w:hAnsiTheme="majorEastAsia" w:eastAsiaTheme="majorEastAsia"/>
          <w:b/>
          <w:sz w:val="52"/>
          <w:szCs w:val="52"/>
          <w:highlight w:val="none"/>
        </w:rPr>
        <w:t>告</w:t>
      </w:r>
    </w:p>
    <w:p>
      <w:pPr>
        <w:spacing w:line="276" w:lineRule="auto"/>
        <w:ind w:firstLine="3900" w:firstLineChars="750"/>
        <w:rPr>
          <w:rFonts w:ascii="宋体" w:hAnsi="宋体" w:eastAsia="宋体" w:cs="宋体"/>
          <w:sz w:val="52"/>
          <w:szCs w:val="52"/>
          <w:highlight w:val="none"/>
        </w:rPr>
      </w:pPr>
    </w:p>
    <w:p>
      <w:pPr>
        <w:spacing w:line="276" w:lineRule="auto"/>
        <w:ind w:firstLine="3900" w:firstLineChars="750"/>
        <w:rPr>
          <w:rFonts w:ascii="宋体" w:hAnsi="宋体" w:eastAsia="宋体" w:cs="宋体"/>
          <w:sz w:val="52"/>
          <w:szCs w:val="52"/>
          <w:highlight w:val="none"/>
        </w:rPr>
      </w:pPr>
    </w:p>
    <w:p>
      <w:pPr>
        <w:spacing w:before="40" w:after="40" w:line="276" w:lineRule="auto"/>
        <w:jc w:val="center"/>
        <w:rPr>
          <w:rFonts w:ascii="宋体" w:hAnsi="宋体" w:eastAsia="宋体" w:cs="宋体"/>
          <w:sz w:val="36"/>
          <w:szCs w:val="36"/>
          <w:highlight w:val="none"/>
        </w:rPr>
      </w:pPr>
      <w:r>
        <w:rPr>
          <w:rFonts w:hint="eastAsia" w:ascii="宋体" w:hAnsi="宋体" w:eastAsia="宋体" w:cs="宋体"/>
          <w:sz w:val="36"/>
          <w:szCs w:val="36"/>
          <w:highlight w:val="none"/>
        </w:rPr>
        <w:t>报告日期：</w:t>
      </w:r>
      <w:r>
        <w:rPr>
          <w:rFonts w:ascii="宋体" w:hAnsi="宋体" w:eastAsia="宋体" w:cs="宋体"/>
          <w:sz w:val="36"/>
          <w:szCs w:val="36"/>
          <w:highlight w:val="none"/>
        </w:rPr>
        <w:t>202</w:t>
      </w:r>
      <w:r>
        <w:rPr>
          <w:rFonts w:hint="eastAsia" w:ascii="宋体" w:hAnsi="宋体" w:eastAsia="宋体" w:cs="宋体"/>
          <w:sz w:val="36"/>
          <w:szCs w:val="36"/>
          <w:highlight w:val="none"/>
          <w:lang w:val="en-US" w:eastAsia="zh-CN"/>
        </w:rPr>
        <w:t>3</w:t>
      </w:r>
      <w:r>
        <w:rPr>
          <w:rFonts w:hint="eastAsia" w:ascii="宋体" w:hAnsi="宋体" w:eastAsia="宋体" w:cs="宋体"/>
          <w:sz w:val="36"/>
          <w:szCs w:val="36"/>
          <w:highlight w:val="none"/>
        </w:rPr>
        <w:t>年</w:t>
      </w:r>
      <w:r>
        <w:rPr>
          <w:rFonts w:hint="eastAsia" w:ascii="宋体" w:hAnsi="宋体" w:eastAsia="宋体" w:cs="宋体"/>
          <w:sz w:val="36"/>
          <w:szCs w:val="36"/>
          <w:highlight w:val="none"/>
          <w:lang w:val="en-US" w:eastAsia="zh-CN"/>
        </w:rPr>
        <w:t>11</w:t>
      </w:r>
      <w:r>
        <w:rPr>
          <w:rFonts w:hint="eastAsia" w:ascii="宋体" w:hAnsi="宋体" w:eastAsia="宋体" w:cs="宋体"/>
          <w:sz w:val="36"/>
          <w:szCs w:val="36"/>
          <w:highlight w:val="none"/>
        </w:rPr>
        <w:t>月</w:t>
      </w:r>
    </w:p>
    <w:bookmarkEnd w:id="0"/>
    <w:p>
      <w:pPr>
        <w:pStyle w:val="91"/>
        <w:ind w:firstLine="640"/>
      </w:pPr>
      <w:bookmarkStart w:id="1" w:name="_Hlk24613918"/>
      <w:r>
        <w:rPr>
          <w:rFonts w:hint="eastAsia"/>
        </w:rPr>
        <w:t>关于本报告</w:t>
      </w:r>
    </w:p>
    <w:p>
      <w:pPr>
        <w:pStyle w:val="90"/>
      </w:pPr>
      <w:bookmarkStart w:id="2" w:name="_Toc493596484"/>
      <w:r>
        <w:rPr>
          <w:rFonts w:hint="eastAsia"/>
        </w:rPr>
        <w:t xml:space="preserve">1 </w:t>
      </w:r>
      <w:bookmarkEnd w:id="2"/>
      <w:r>
        <w:rPr>
          <w:rFonts w:hint="eastAsia"/>
        </w:rPr>
        <w:t>报告范围</w:t>
      </w:r>
    </w:p>
    <w:p>
      <w:pPr>
        <w:ind w:firstLine="420"/>
        <w:rPr>
          <w:highlight w:val="none"/>
        </w:rPr>
      </w:pPr>
      <w:r>
        <w:rPr>
          <w:rFonts w:hint="eastAsia"/>
        </w:rPr>
        <w:t>本报告以</w:t>
      </w:r>
      <w:r>
        <w:rPr>
          <w:rFonts w:hint="eastAsia"/>
          <w:highlight w:val="none"/>
        </w:rPr>
        <w:t>金华凯力特自动化科技有限公司为主体，披露了20</w:t>
      </w:r>
      <w:r>
        <w:rPr>
          <w:highlight w:val="none"/>
        </w:rPr>
        <w:t>2</w:t>
      </w:r>
      <w:r>
        <w:rPr>
          <w:rFonts w:hint="eastAsia"/>
          <w:highlight w:val="none"/>
          <w:lang w:val="en-US" w:eastAsia="zh-CN"/>
        </w:rPr>
        <w:t>2</w:t>
      </w:r>
      <w:r>
        <w:rPr>
          <w:rFonts w:hint="eastAsia"/>
          <w:highlight w:val="none"/>
        </w:rPr>
        <w:t>年企业履行政治、经济、社会和生态责任方面的内容。</w:t>
      </w:r>
    </w:p>
    <w:p>
      <w:pPr>
        <w:pStyle w:val="90"/>
        <w:rPr>
          <w:highlight w:val="none"/>
        </w:rPr>
      </w:pPr>
      <w:r>
        <w:rPr>
          <w:rFonts w:hint="eastAsia"/>
          <w:highlight w:val="none"/>
        </w:rPr>
        <w:t>2 称谓说明</w:t>
      </w:r>
    </w:p>
    <w:p>
      <w:pPr>
        <w:ind w:firstLine="420"/>
        <w:rPr>
          <w:highlight w:val="none"/>
        </w:rPr>
      </w:pPr>
      <w:r>
        <w:rPr>
          <w:rFonts w:hint="eastAsia"/>
          <w:highlight w:val="none"/>
        </w:rPr>
        <w:t>为表述方便，报告把“金华凯力特自动化科技有限公司”简称为“</w:t>
      </w:r>
      <w:r>
        <w:rPr>
          <w:rFonts w:hint="eastAsia"/>
          <w:highlight w:val="none"/>
          <w:lang w:val="en-US" w:eastAsia="zh-CN"/>
        </w:rPr>
        <w:t>凯力特</w:t>
      </w:r>
      <w:r>
        <w:rPr>
          <w:rFonts w:hint="eastAsia"/>
          <w:highlight w:val="none"/>
        </w:rPr>
        <w:t>”、“公司”。</w:t>
      </w:r>
    </w:p>
    <w:p>
      <w:pPr>
        <w:pStyle w:val="90"/>
        <w:rPr>
          <w:highlight w:val="none"/>
        </w:rPr>
      </w:pPr>
      <w:bookmarkStart w:id="3" w:name="_Toc493596487"/>
      <w:r>
        <w:rPr>
          <w:rFonts w:hint="eastAsia"/>
          <w:highlight w:val="none"/>
        </w:rPr>
        <w:t>3 报告时间</w:t>
      </w:r>
      <w:bookmarkEnd w:id="3"/>
      <w:r>
        <w:rPr>
          <w:rFonts w:hint="eastAsia"/>
          <w:highlight w:val="none"/>
        </w:rPr>
        <w:t>和频次</w:t>
      </w:r>
    </w:p>
    <w:p>
      <w:pPr>
        <w:ind w:firstLine="420"/>
        <w:rPr>
          <w:rFonts w:ascii="宋体" w:hAnsi="宋体" w:eastAsia="宋体"/>
          <w:highlight w:val="none"/>
        </w:rPr>
      </w:pPr>
      <w:r>
        <w:rPr>
          <w:rFonts w:hint="eastAsia" w:ascii="宋体" w:hAnsi="宋体" w:eastAsia="宋体"/>
          <w:highlight w:val="none"/>
        </w:rPr>
        <w:t>202</w:t>
      </w:r>
      <w:r>
        <w:rPr>
          <w:rFonts w:hint="eastAsia" w:ascii="宋体" w:hAnsi="宋体" w:eastAsia="宋体"/>
          <w:highlight w:val="none"/>
          <w:lang w:val="en-US" w:eastAsia="zh-CN"/>
        </w:rPr>
        <w:t>2</w:t>
      </w:r>
      <w:r>
        <w:rPr>
          <w:rFonts w:hint="eastAsia" w:ascii="宋体" w:hAnsi="宋体" w:eastAsia="宋体"/>
          <w:highlight w:val="none"/>
        </w:rPr>
        <w:t>年01月1日至202</w:t>
      </w:r>
      <w:r>
        <w:rPr>
          <w:rFonts w:hint="eastAsia" w:ascii="宋体" w:hAnsi="宋体" w:eastAsia="宋体"/>
          <w:highlight w:val="none"/>
          <w:lang w:val="en-US" w:eastAsia="zh-CN"/>
        </w:rPr>
        <w:t>2</w:t>
      </w:r>
      <w:r>
        <w:rPr>
          <w:rFonts w:hint="eastAsia" w:ascii="宋体" w:hAnsi="宋体" w:eastAsia="宋体"/>
          <w:highlight w:val="none"/>
        </w:rPr>
        <w:t>年12月31日，部分数据及内容超出上述范围。</w:t>
      </w:r>
    </w:p>
    <w:p>
      <w:pPr>
        <w:ind w:firstLine="420"/>
        <w:rPr>
          <w:rFonts w:ascii="宋体" w:hAnsi="宋体" w:eastAsia="宋体"/>
          <w:highlight w:val="none"/>
        </w:rPr>
      </w:pPr>
      <w:r>
        <w:rPr>
          <w:rFonts w:hint="eastAsia" w:ascii="宋体" w:hAnsi="宋体" w:eastAsia="宋体"/>
          <w:highlight w:val="none"/>
        </w:rPr>
        <w:t>本报告为年度报告。</w:t>
      </w:r>
    </w:p>
    <w:p>
      <w:pPr>
        <w:pStyle w:val="90"/>
        <w:rPr>
          <w:highlight w:val="none"/>
        </w:rPr>
      </w:pPr>
      <w:bookmarkStart w:id="4" w:name="_Toc493596490"/>
      <w:r>
        <w:rPr>
          <w:rFonts w:hint="eastAsia"/>
          <w:highlight w:val="none"/>
        </w:rPr>
        <w:t>4 报告</w:t>
      </w:r>
      <w:bookmarkEnd w:id="4"/>
      <w:r>
        <w:rPr>
          <w:rFonts w:hint="eastAsia"/>
          <w:highlight w:val="none"/>
        </w:rPr>
        <w:t>发布形式</w:t>
      </w:r>
    </w:p>
    <w:p>
      <w:pPr>
        <w:ind w:firstLine="420"/>
        <w:rPr>
          <w:rFonts w:ascii="宋体" w:hAnsi="宋体" w:eastAsia="宋体"/>
          <w:highlight w:val="none"/>
        </w:rPr>
      </w:pPr>
      <w:r>
        <w:rPr>
          <w:rFonts w:hint="eastAsia" w:ascii="宋体" w:hAnsi="宋体" w:eastAsia="宋体"/>
          <w:highlight w:val="none"/>
        </w:rPr>
        <w:t>本报告以电子文档形式发布，其中电子文档可在金华凯力特自动化科技有限公司网站https://www.calet.com.cn下载阅读。</w:t>
      </w:r>
    </w:p>
    <w:p>
      <w:pPr>
        <w:ind w:firstLine="420"/>
      </w:pPr>
    </w:p>
    <w:bookmarkEnd w:id="1"/>
    <w:p>
      <w:pPr>
        <w:pStyle w:val="51"/>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14:textFill>
            <w14:solidFill>
              <w14:schemeClr w14:val="tx1"/>
            </w14:solidFill>
          </w14:textFill>
        </w:rPr>
        <w:sectPr>
          <w:headerReference r:id="rId3" w:type="default"/>
          <w:pgSz w:w="11906" w:h="16838"/>
          <w:pgMar w:top="1440" w:right="1800" w:bottom="1440" w:left="1800" w:header="851" w:footer="992" w:gutter="0"/>
          <w:cols w:space="425" w:num="1"/>
          <w:docGrid w:type="lines" w:linePitch="312" w:charSpace="0"/>
        </w:sectPr>
      </w:pPr>
      <w:bookmarkStart w:id="5" w:name="_Toc451610891"/>
      <w:bookmarkStart w:id="6" w:name="_Toc451610984"/>
    </w:p>
    <w:p>
      <w:pPr>
        <w:pStyle w:val="51"/>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14:textFill>
            <w14:solidFill>
              <w14:schemeClr w14:val="tx1"/>
            </w14:solidFill>
          </w14:textFill>
        </w:rPr>
      </w:pPr>
      <w:r>
        <w:rPr>
          <w:rFonts w:hint="eastAsia" w:asciiTheme="majorEastAsia" w:hAnsiTheme="majorEastAsia" w:eastAsiaTheme="majorEastAsia"/>
          <w:b/>
          <w:color w:val="000000" w:themeColor="text1"/>
          <w:sz w:val="28"/>
          <w:szCs w:val="24"/>
          <w:highlight w:val="none"/>
          <w14:textFill>
            <w14:solidFill>
              <w14:schemeClr w14:val="tx1"/>
            </w14:solidFill>
          </w14:textFill>
        </w:rPr>
        <w:t>金华凯力特自动化科技有限公司</w:t>
      </w:r>
      <w:r>
        <w:rPr>
          <w:rFonts w:asciiTheme="majorEastAsia" w:hAnsiTheme="majorEastAsia" w:eastAsiaTheme="majorEastAsia"/>
          <w:b/>
          <w:color w:val="000000" w:themeColor="text1"/>
          <w:sz w:val="28"/>
          <w:szCs w:val="24"/>
          <w14:textFill>
            <w14:solidFill>
              <w14:schemeClr w14:val="tx1"/>
            </w14:solidFill>
          </w14:textFill>
        </w:rPr>
        <w:t>简介</w:t>
      </w:r>
      <w:r>
        <w:rPr>
          <w:rFonts w:hint="eastAsia" w:asciiTheme="majorEastAsia" w:hAnsiTheme="majorEastAsia" w:eastAsiaTheme="majorEastAsia"/>
          <w:b/>
          <w:color w:val="000000" w:themeColor="text1"/>
          <w:sz w:val="28"/>
          <w:szCs w:val="24"/>
          <w14:textFill>
            <w14:solidFill>
              <w14:schemeClr w14:val="tx1"/>
            </w14:solidFill>
          </w14:textFill>
        </w:rPr>
        <w:t>和企业文化</w:t>
      </w:r>
    </w:p>
    <w:p>
      <w:pPr>
        <w:pStyle w:val="51"/>
        <w:spacing w:before="156" w:beforeLines="50" w:after="156" w:afterLines="50" w:line="360" w:lineRule="auto"/>
        <w:ind w:firstLine="0" w:firstLineChars="0"/>
        <w:outlineLvl w:val="0"/>
        <w:rPr>
          <w:rFonts w:asciiTheme="majorEastAsia" w:hAnsiTheme="majorEastAsia" w:eastAsiaTheme="majorEastAsia"/>
          <w:b/>
          <w:color w:val="000000" w:themeColor="text1"/>
          <w:sz w:val="28"/>
          <w:szCs w:val="24"/>
          <w14:textFill>
            <w14:solidFill>
              <w14:schemeClr w14:val="tx1"/>
            </w14:solidFill>
          </w14:textFill>
        </w:rPr>
      </w:pPr>
      <w:r>
        <w:rPr>
          <w:rFonts w:hint="eastAsia" w:asciiTheme="majorEastAsia" w:hAnsiTheme="majorEastAsia" w:eastAsiaTheme="majorEastAsia"/>
          <w:b/>
          <w:color w:val="000000" w:themeColor="text1"/>
          <w:sz w:val="28"/>
          <w:szCs w:val="24"/>
          <w14:textFill>
            <w14:solidFill>
              <w14:schemeClr w14:val="tx1"/>
            </w14:solidFill>
          </w14:textFill>
        </w:rPr>
        <w:t>1.公司简介</w:t>
      </w:r>
    </w:p>
    <w:p>
      <w:pPr>
        <w:pStyle w:val="19"/>
        <w:spacing w:line="360" w:lineRule="auto"/>
        <w:ind w:firstLine="439" w:firstLineChars="183"/>
        <w:jc w:val="left"/>
        <w:rPr>
          <w:rFonts w:hint="eastAsia" w:ascii="宋体" w:hAnsi="宋体"/>
          <w:szCs w:val="24"/>
          <w:highlight w:val="none"/>
        </w:rPr>
      </w:pPr>
      <w:bookmarkStart w:id="7" w:name="_Hlk112429603"/>
      <w:bookmarkStart w:id="8" w:name="_Hlk112430267"/>
      <w:r>
        <w:rPr>
          <w:rFonts w:hint="eastAsia" w:ascii="宋体" w:hAnsi="宋体"/>
          <w:szCs w:val="24"/>
          <w:highlight w:val="none"/>
        </w:rPr>
        <w:t>金华凯力特自动化科技有限公司（以下简称“凯力特”或“公司”）创建于2004年3月，位于浙江省金华市国家级经济技术开发区内，注册资本1039万元，资产总额达9245万元，</w:t>
      </w:r>
      <w:r>
        <w:rPr>
          <w:rFonts w:hint="eastAsia" w:ascii="宋体" w:hAnsi="宋体"/>
          <w:b/>
          <w:bCs/>
          <w:szCs w:val="24"/>
          <w:highlight w:val="none"/>
        </w:rPr>
        <w:t>是一家致力于智能机械手设计、生产和销售，集光、机、电和信息一体化的科技型企业，致力于为客户提供最佳的自动化整体解决方案和最优质的服务。</w:t>
      </w:r>
      <w:r>
        <w:rPr>
          <w:rFonts w:hint="eastAsia" w:ascii="宋体" w:hAnsi="宋体"/>
          <w:szCs w:val="24"/>
          <w:highlight w:val="none"/>
        </w:rPr>
        <w:t>2021年度，公司实现</w:t>
      </w:r>
      <w:r>
        <w:rPr>
          <w:rFonts w:hint="eastAsia" w:ascii="宋体" w:hAnsi="宋体"/>
          <w:b/>
          <w:bCs/>
          <w:szCs w:val="24"/>
          <w:highlight w:val="none"/>
        </w:rPr>
        <w:t>销售收入5279万元，同比增长32%，</w:t>
      </w:r>
      <w:r>
        <w:rPr>
          <w:rFonts w:hint="eastAsia" w:ascii="宋体" w:hAnsi="宋体"/>
          <w:szCs w:val="24"/>
          <w:highlight w:val="none"/>
        </w:rPr>
        <w:t>显示出了强劲的增长性；同时，公司</w:t>
      </w:r>
      <w:r>
        <w:rPr>
          <w:rFonts w:hint="eastAsia" w:ascii="宋体" w:hAnsi="宋体"/>
          <w:b/>
          <w:bCs/>
          <w:szCs w:val="24"/>
          <w:highlight w:val="none"/>
        </w:rPr>
        <w:t>近3年共上缴纳税756万元，</w:t>
      </w:r>
      <w:r>
        <w:rPr>
          <w:rFonts w:hint="eastAsia" w:ascii="宋体" w:hAnsi="宋体"/>
          <w:szCs w:val="24"/>
          <w:highlight w:val="none"/>
        </w:rPr>
        <w:t>体现了公司的社会担当。</w:t>
      </w:r>
    </w:p>
    <w:p>
      <w:pPr>
        <w:pStyle w:val="19"/>
        <w:spacing w:line="360" w:lineRule="auto"/>
        <w:ind w:firstLine="439" w:firstLineChars="183"/>
        <w:jc w:val="left"/>
        <w:rPr>
          <w:rFonts w:hint="eastAsia" w:ascii="宋体" w:hAnsi="宋体"/>
          <w:szCs w:val="24"/>
          <w:highlight w:val="none"/>
        </w:rPr>
      </w:pPr>
      <w:r>
        <w:rPr>
          <w:rFonts w:hint="eastAsia" w:ascii="宋体" w:hAnsi="宋体"/>
          <w:szCs w:val="24"/>
          <w:highlight w:val="none"/>
        </w:rPr>
        <w:t>公司自成立以来，本着“科技、品质、服务、共赢”的企业经营理念，以市场为导向，以用户为中心，立足于高新技术，打造一流品牌，服务于用户，服务于市场，服务于社会。产品生产</w:t>
      </w:r>
      <w:r>
        <w:rPr>
          <w:rFonts w:hint="eastAsia" w:ascii="宋体" w:hAnsi="宋体"/>
          <w:b/>
          <w:bCs/>
          <w:szCs w:val="24"/>
          <w:highlight w:val="none"/>
        </w:rPr>
        <w:t>严格执行ISO9001质量管理体系标准，</w:t>
      </w:r>
      <w:r>
        <w:rPr>
          <w:rFonts w:hint="eastAsia" w:ascii="宋体" w:hAnsi="宋体"/>
          <w:szCs w:val="24"/>
          <w:highlight w:val="none"/>
        </w:rPr>
        <w:t>贯彻“品质不是检验出来的，是生产制造出来的”质量理念，实施从供应商采购、设计开发、生产加工、质量检验及服务全过程的管理，建立了一整套完善的生产管理和质量管控体系文件，严格控制产品实现的各个环节，确保了产品的优良品质。</w:t>
      </w:r>
    </w:p>
    <w:p>
      <w:pPr>
        <w:pStyle w:val="19"/>
        <w:spacing w:line="360" w:lineRule="auto"/>
        <w:ind w:firstLine="439" w:firstLineChars="183"/>
        <w:jc w:val="left"/>
        <w:rPr>
          <w:rFonts w:hint="eastAsia" w:ascii="宋体" w:hAnsi="宋体"/>
          <w:b/>
          <w:bCs/>
          <w:szCs w:val="24"/>
          <w:highlight w:val="none"/>
        </w:rPr>
      </w:pPr>
      <w:r>
        <w:rPr>
          <w:rFonts w:hint="eastAsia" w:ascii="宋体" w:hAnsi="宋体"/>
          <w:szCs w:val="24"/>
          <w:highlight w:val="none"/>
        </w:rPr>
        <w:t>目前，公司产品主要销往长三角、珠三角、渤海湾等地区，为塑料制品、电动工具、汽摩配、化妆品包材、日用品、医疗设备等领域提供配套产品与服务，</w:t>
      </w:r>
      <w:r>
        <w:rPr>
          <w:rFonts w:hint="eastAsia" w:ascii="宋体" w:hAnsi="宋体"/>
          <w:b/>
          <w:bCs/>
          <w:szCs w:val="24"/>
          <w:highlight w:val="none"/>
        </w:rPr>
        <w:t>服务客户包括公牛集团、天能集团、康德莱集团、哈尔斯等大型知名企业。</w:t>
      </w:r>
      <w:r>
        <w:rPr>
          <w:rFonts w:hint="eastAsia" w:ascii="宋体" w:hAnsi="宋体"/>
          <w:szCs w:val="24"/>
          <w:highlight w:val="none"/>
        </w:rPr>
        <w:t>近年来，公司</w:t>
      </w:r>
      <w:r>
        <w:rPr>
          <w:rFonts w:hint="eastAsia" w:ascii="宋体" w:hAnsi="宋体"/>
          <w:b/>
          <w:bCs/>
          <w:szCs w:val="24"/>
          <w:highlight w:val="none"/>
        </w:rPr>
        <w:t>注塑机机械手产品市场份额在金华地区一直处于领先地位，省内也长居前三。</w:t>
      </w:r>
    </w:p>
    <w:p>
      <w:pPr>
        <w:pStyle w:val="19"/>
        <w:spacing w:line="360" w:lineRule="auto"/>
        <w:ind w:firstLine="439" w:firstLineChars="183"/>
        <w:jc w:val="left"/>
        <w:rPr>
          <w:rFonts w:hint="eastAsia" w:ascii="宋体" w:hAnsi="宋体"/>
          <w:szCs w:val="24"/>
          <w:highlight w:val="none"/>
        </w:rPr>
      </w:pPr>
      <w:r>
        <w:rPr>
          <w:rFonts w:hint="eastAsia" w:ascii="宋体" w:hAnsi="宋体"/>
          <w:szCs w:val="24"/>
          <w:highlight w:val="none"/>
        </w:rPr>
        <w:t>公司坚持走自主创新的道路，先后被认定为</w:t>
      </w:r>
      <w:r>
        <w:rPr>
          <w:rFonts w:hint="eastAsia" w:ascii="宋体" w:hAnsi="宋体"/>
          <w:b/>
          <w:bCs/>
          <w:szCs w:val="24"/>
          <w:highlight w:val="none"/>
        </w:rPr>
        <w:t>“国家高新技术企业”“浙江省科技型企业”“浙江省科技型中小企业”</w:t>
      </w:r>
      <w:r>
        <w:rPr>
          <w:rFonts w:hint="eastAsia" w:ascii="宋体" w:hAnsi="宋体"/>
          <w:szCs w:val="24"/>
          <w:highlight w:val="none"/>
        </w:rPr>
        <w:t>及</w:t>
      </w:r>
      <w:r>
        <w:rPr>
          <w:rFonts w:hint="eastAsia" w:ascii="宋体" w:hAnsi="宋体"/>
          <w:b/>
          <w:bCs/>
          <w:szCs w:val="24"/>
          <w:highlight w:val="none"/>
        </w:rPr>
        <w:t>“金华市专利示范企业”</w:t>
      </w:r>
      <w:r>
        <w:rPr>
          <w:rFonts w:hint="eastAsia" w:ascii="宋体" w:hAnsi="宋体"/>
          <w:szCs w:val="24"/>
          <w:highlight w:val="none"/>
        </w:rPr>
        <w:t>，建有</w:t>
      </w:r>
      <w:r>
        <w:rPr>
          <w:rFonts w:hint="eastAsia" w:ascii="宋体" w:hAnsi="宋体"/>
          <w:b/>
          <w:bCs/>
          <w:szCs w:val="24"/>
          <w:highlight w:val="none"/>
        </w:rPr>
        <w:t>省级高新技术研究开发中心</w:t>
      </w:r>
      <w:r>
        <w:rPr>
          <w:rFonts w:hint="eastAsia" w:ascii="宋体" w:hAnsi="宋体"/>
          <w:szCs w:val="24"/>
          <w:highlight w:val="none"/>
        </w:rPr>
        <w:t>，产品先后被认定为</w:t>
      </w:r>
      <w:r>
        <w:rPr>
          <w:rFonts w:hint="eastAsia" w:ascii="宋体" w:hAnsi="宋体"/>
          <w:b/>
          <w:bCs/>
          <w:szCs w:val="24"/>
          <w:highlight w:val="none"/>
        </w:rPr>
        <w:t>“国家重点新产品”“浙江省名牌产品”“浙江省装备制造业重点领域首台（套）”“浙江制造精品”、浙江省“机器换人”先进适用装备推广目录产品、“金华市高新技术产品”</w:t>
      </w:r>
      <w:r>
        <w:rPr>
          <w:rFonts w:hint="eastAsia" w:ascii="宋体" w:hAnsi="宋体"/>
          <w:szCs w:val="24"/>
          <w:highlight w:val="none"/>
        </w:rPr>
        <w:t>，荣获</w:t>
      </w:r>
      <w:r>
        <w:rPr>
          <w:rFonts w:hint="eastAsia" w:ascii="宋体" w:hAnsi="宋体"/>
          <w:b/>
          <w:bCs/>
          <w:szCs w:val="24"/>
          <w:highlight w:val="none"/>
        </w:rPr>
        <w:t>“金华市科学技术奖二等奖”</w:t>
      </w:r>
      <w:r>
        <w:rPr>
          <w:rFonts w:hint="eastAsia" w:ascii="宋体" w:hAnsi="宋体"/>
          <w:szCs w:val="24"/>
          <w:highlight w:val="none"/>
        </w:rPr>
        <w:t>及</w:t>
      </w:r>
      <w:r>
        <w:rPr>
          <w:rFonts w:hint="eastAsia" w:ascii="宋体" w:hAnsi="宋体"/>
          <w:b/>
          <w:bCs/>
          <w:szCs w:val="24"/>
          <w:highlight w:val="none"/>
        </w:rPr>
        <w:t>“第二届金华市工业设计大赛产品结构设计类三等奖”</w:t>
      </w:r>
      <w:r>
        <w:rPr>
          <w:rFonts w:hint="eastAsia" w:ascii="宋体" w:hAnsi="宋体"/>
          <w:szCs w:val="24"/>
          <w:highlight w:val="none"/>
        </w:rPr>
        <w:t>等奖项。目前，公司共</w:t>
      </w:r>
      <w:r>
        <w:rPr>
          <w:rFonts w:hint="eastAsia" w:ascii="宋体" w:hAnsi="宋体"/>
          <w:b/>
          <w:bCs/>
          <w:szCs w:val="24"/>
          <w:highlight w:val="none"/>
        </w:rPr>
        <w:t>拥有51项自主知识产权，其中发明专利1件，实用新型专利35件，外观设计专利3件，软件著作权12项，另外已有5件发明专利和2件实用新型专利申请已进入实质审查阶段。</w:t>
      </w:r>
    </w:p>
    <w:p>
      <w:pPr>
        <w:pStyle w:val="19"/>
        <w:spacing w:line="360" w:lineRule="auto"/>
        <w:ind w:firstLine="439" w:firstLineChars="183"/>
        <w:jc w:val="left"/>
        <w:rPr>
          <w:rFonts w:ascii="宋体" w:hAnsi="宋体"/>
          <w:szCs w:val="24"/>
          <w:highlight w:val="yellow"/>
        </w:rPr>
      </w:pPr>
      <w:r>
        <w:rPr>
          <w:rFonts w:hint="eastAsia" w:ascii="宋体" w:hAnsi="宋体"/>
          <w:szCs w:val="24"/>
          <w:highlight w:val="none"/>
        </w:rPr>
        <w:t>公司先后获得</w:t>
      </w:r>
      <w:r>
        <w:rPr>
          <w:rFonts w:hint="eastAsia" w:ascii="宋体" w:hAnsi="宋体"/>
          <w:b/>
          <w:bCs/>
          <w:szCs w:val="24"/>
          <w:highlight w:val="none"/>
        </w:rPr>
        <w:t>“安全生产标准化三级企业”、浙江省“机器换人”工程服务公司、“浙江名牌产品”、金华市“机器换人”推荐服务商、金华市“机器换人”示范试点企业、“金华市著名商标”</w:t>
      </w:r>
      <w:r>
        <w:rPr>
          <w:rFonts w:hint="eastAsia" w:ascii="宋体" w:hAnsi="宋体"/>
          <w:szCs w:val="24"/>
          <w:highlight w:val="none"/>
        </w:rPr>
        <w:t>等荣誉。凯力特将以更优秀的产品和完善的服务与广大客户携手共进，共创辉煌！</w:t>
      </w:r>
      <w:bookmarkEnd w:id="7"/>
    </w:p>
    <w:p>
      <w:pPr>
        <w:pStyle w:val="19"/>
        <w:spacing w:line="360" w:lineRule="auto"/>
        <w:ind w:firstLine="439" w:firstLineChars="183"/>
        <w:jc w:val="left"/>
        <w:rPr>
          <w:rFonts w:ascii="宋体" w:hAnsi="宋体"/>
          <w:szCs w:val="24"/>
        </w:rPr>
      </w:pPr>
      <w:r>
        <w:rPr>
          <w:rFonts w:hint="eastAsia" w:ascii="宋体" w:hAnsi="宋体"/>
          <w:szCs w:val="24"/>
        </w:rPr>
        <w:t>全球经济一体化的趋势下，</w:t>
      </w:r>
      <w:r>
        <w:rPr>
          <w:rFonts w:hint="eastAsia" w:ascii="宋体" w:hAnsi="宋体"/>
          <w:b w:val="0"/>
          <w:bCs w:val="0"/>
          <w:szCs w:val="24"/>
          <w:highlight w:val="none"/>
          <w:lang w:val="en-US" w:eastAsia="zh-CN"/>
        </w:rPr>
        <w:t>凯力特</w:t>
      </w:r>
      <w:r>
        <w:rPr>
          <w:rFonts w:hint="eastAsia" w:ascii="宋体" w:hAnsi="宋体"/>
          <w:szCs w:val="24"/>
        </w:rPr>
        <w:t>将继续深钻专业领域，提升自身技术高度，完善产品结构，优化全球服务网络平台朝着拥有国际先进技术和文化的企业方向迈进！</w:t>
      </w:r>
      <w:bookmarkEnd w:id="8"/>
    </w:p>
    <w:p>
      <w:pPr>
        <w:spacing w:line="400" w:lineRule="exact"/>
        <w:jc w:val="left"/>
        <w:rPr>
          <w:rFonts w:ascii="宋体" w:hAnsi="宋体"/>
          <w:b/>
          <w:bCs/>
          <w:sz w:val="28"/>
          <w:szCs w:val="24"/>
        </w:rPr>
      </w:pPr>
      <w:r>
        <w:rPr>
          <w:rFonts w:hint="eastAsia" w:ascii="宋体" w:hAnsi="宋体"/>
          <w:b/>
          <w:bCs/>
          <w:sz w:val="28"/>
          <w:szCs w:val="24"/>
        </w:rPr>
        <w:t>2.企业文化</w:t>
      </w:r>
    </w:p>
    <w:p>
      <w:pPr>
        <w:spacing w:line="360" w:lineRule="auto"/>
        <w:ind w:firstLine="480" w:firstLineChars="200"/>
        <w:rPr>
          <w:rFonts w:cs="Times New Roman" w:asciiTheme="minorEastAsia" w:hAnsiTheme="minorEastAsia"/>
          <w:kern w:val="0"/>
          <w:sz w:val="24"/>
          <w:szCs w:val="24"/>
          <w:highlight w:val="none"/>
        </w:rPr>
      </w:pPr>
      <w:bookmarkStart w:id="9" w:name="_Hlk112002177"/>
      <w:bookmarkStart w:id="10" w:name="_Hlk24613985"/>
      <w:bookmarkStart w:id="11" w:name="_Hlk24922071"/>
      <w:r>
        <w:rPr>
          <w:rFonts w:hint="eastAsia" w:cs="Times New Roman" w:asciiTheme="minorEastAsia" w:hAnsiTheme="minorEastAsia"/>
          <w:kern w:val="0"/>
          <w:sz w:val="24"/>
          <w:szCs w:val="24"/>
        </w:rPr>
        <w:t>公司的使命：</w:t>
      </w:r>
      <w:bookmarkStart w:id="12" w:name="_Hlk112001009"/>
      <w:r>
        <w:rPr>
          <w:rFonts w:hint="eastAsia" w:ascii="宋体" w:hAnsi="宋体"/>
          <w:sz w:val="24"/>
          <w:szCs w:val="24"/>
          <w:highlight w:val="none"/>
        </w:rPr>
        <w:t>做最好的企业，出最好的产品。</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愿景：成为自动化行业中的佼佼者，助力浙江省中小企业实现智能制造。</w:t>
      </w:r>
    </w:p>
    <w:p>
      <w:pPr>
        <w:spacing w:line="360" w:lineRule="auto"/>
        <w:ind w:firstLine="480" w:firstLineChars="200"/>
        <w:rPr>
          <w:rFonts w:hint="eastAsia"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核心价值观：</w:t>
      </w:r>
      <w:bookmarkEnd w:id="12"/>
      <w:r>
        <w:rPr>
          <w:rFonts w:hint="eastAsia" w:cs="Times New Roman" w:asciiTheme="minorEastAsia" w:hAnsiTheme="minorEastAsia"/>
          <w:kern w:val="0"/>
          <w:sz w:val="24"/>
          <w:szCs w:val="24"/>
          <w:highlight w:val="none"/>
        </w:rPr>
        <w:t>智慧、勤实、共赢、持续。</w:t>
      </w:r>
      <w:bookmarkEnd w:id="9"/>
    </w:p>
    <w:bookmarkEnd w:id="10"/>
    <w:bookmarkEnd w:id="11"/>
    <w:p>
      <w:pPr>
        <w:spacing w:before="156" w:beforeLines="50" w:after="156" w:afterLines="50" w:line="360"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二、</w:t>
      </w:r>
      <w:r>
        <w:rPr>
          <w:rFonts w:cs="Times New Roman" w:asciiTheme="majorEastAsia" w:hAnsiTheme="majorEastAsia" w:eastAsiaTheme="majorEastAsia"/>
          <w:b/>
          <w:color w:val="000000" w:themeColor="text1"/>
          <w:sz w:val="28"/>
          <w:szCs w:val="24"/>
          <w14:textFill>
            <w14:solidFill>
              <w14:schemeClr w14:val="tx1"/>
            </w14:solidFill>
          </w14:textFill>
        </w:rPr>
        <w:t>组织架构</w:t>
      </w:r>
      <w:r>
        <w:rPr>
          <w:rFonts w:hint="eastAsia" w:cs="Times New Roman" w:asciiTheme="majorEastAsia" w:hAnsiTheme="majorEastAsia" w:eastAsiaTheme="majorEastAsia"/>
          <w:b/>
          <w:color w:val="000000" w:themeColor="text1"/>
          <w:sz w:val="28"/>
          <w:szCs w:val="24"/>
          <w14:textFill>
            <w14:solidFill>
              <w14:schemeClr w14:val="tx1"/>
            </w14:solidFill>
          </w14:textFill>
        </w:rPr>
        <w:t>及</w:t>
      </w:r>
      <w:r>
        <w:rPr>
          <w:rFonts w:cs="Times New Roman" w:asciiTheme="majorEastAsia" w:hAnsiTheme="majorEastAsia" w:eastAsiaTheme="majorEastAsia"/>
          <w:b/>
          <w:color w:val="000000" w:themeColor="text1"/>
          <w:sz w:val="28"/>
          <w:szCs w:val="24"/>
          <w14:textFill>
            <w14:solidFill>
              <w14:schemeClr w14:val="tx1"/>
            </w14:solidFill>
          </w14:textFill>
        </w:rPr>
        <w:t>主要产品</w:t>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cs="Times New Roman" w:asciiTheme="majorEastAsia" w:hAnsiTheme="majorEastAsia" w:eastAsiaTheme="majorEastAsia"/>
          <w:b/>
          <w:color w:val="000000" w:themeColor="text1"/>
          <w:sz w:val="24"/>
          <w:szCs w:val="24"/>
          <w14:textFill>
            <w14:solidFill>
              <w14:schemeClr w14:val="tx1"/>
            </w14:solidFill>
          </w14:textFill>
        </w:rPr>
        <w:t>1</w:t>
      </w:r>
      <w:r>
        <w:rPr>
          <w:rFonts w:hint="eastAsia" w:cs="Times New Roman" w:asciiTheme="majorEastAsia" w:hAnsiTheme="majorEastAsia" w:eastAsiaTheme="majorEastAsia"/>
          <w:b/>
          <w:color w:val="000000" w:themeColor="text1"/>
          <w:sz w:val="24"/>
          <w:szCs w:val="24"/>
          <w14:textFill>
            <w14:solidFill>
              <w14:schemeClr w14:val="tx1"/>
            </w14:solidFill>
          </w14:textFill>
        </w:rPr>
        <w:t>、组织</w:t>
      </w:r>
      <w:r>
        <w:rPr>
          <w:rFonts w:cs="Times New Roman" w:asciiTheme="majorEastAsia" w:hAnsiTheme="majorEastAsia" w:eastAsiaTheme="majorEastAsia"/>
          <w:b/>
          <w:color w:val="000000" w:themeColor="text1"/>
          <w:sz w:val="24"/>
          <w:szCs w:val="24"/>
          <w14:textFill>
            <w14:solidFill>
              <w14:schemeClr w14:val="tx1"/>
            </w14:solidFill>
          </w14:textFill>
        </w:rPr>
        <w:t>架构图</w:t>
      </w:r>
    </w:p>
    <w:p>
      <w:pPr>
        <w:pStyle w:val="47"/>
        <w:ind w:firstLine="0" w:firstLineChars="0"/>
        <w:jc w:val="center"/>
        <w:rPr>
          <w:rFonts w:asciiTheme="majorEastAsia" w:hAnsiTheme="majorEastAsia" w:eastAsiaTheme="majorEastAsia"/>
          <w:b/>
          <w:color w:val="000000" w:themeColor="text1"/>
          <w:szCs w:val="24"/>
          <w:lang w:val="en-US"/>
          <w14:textFill>
            <w14:solidFill>
              <w14:schemeClr w14:val="tx1"/>
            </w14:solidFill>
          </w14:textFill>
        </w:rPr>
      </w:pPr>
      <w:r>
        <w:rPr>
          <w:rFonts w:ascii="仿宋" w:hAnsi="仿宋" w:eastAsia="仿宋"/>
          <w:b/>
          <w:lang w:eastAsia="zh-CN"/>
        </w:rPr>
        <w:drawing>
          <wp:anchor distT="0" distB="0" distL="114300" distR="114300" simplePos="0" relativeHeight="251660288" behindDoc="0" locked="0" layoutInCell="1" allowOverlap="1">
            <wp:simplePos x="0" y="0"/>
            <wp:positionH relativeFrom="column">
              <wp:posOffset>-516890</wp:posOffset>
            </wp:positionH>
            <wp:positionV relativeFrom="paragraph">
              <wp:posOffset>60960</wp:posOffset>
            </wp:positionV>
            <wp:extent cx="6363970" cy="5105400"/>
            <wp:effectExtent l="0" t="0" r="17780" b="0"/>
            <wp:wrapTopAndBottom/>
            <wp:docPr id="3" name="图片 2" descr="fbe90e38058cc16a84483f7d85f6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be90e38058cc16a84483f7d85f6a53"/>
                    <pic:cNvPicPr>
                      <a:picLocks noChangeAspect="1"/>
                    </pic:cNvPicPr>
                  </pic:nvPicPr>
                  <pic:blipFill>
                    <a:blip r:embed="rId5"/>
                    <a:stretch>
                      <a:fillRect/>
                    </a:stretch>
                  </pic:blipFill>
                  <pic:spPr>
                    <a:xfrm>
                      <a:off x="0" y="0"/>
                      <a:ext cx="6363970" cy="5105400"/>
                    </a:xfrm>
                    <a:prstGeom prst="rect">
                      <a:avLst/>
                    </a:prstGeom>
                    <a:noFill/>
                    <a:ln>
                      <a:noFill/>
                    </a:ln>
                  </pic:spPr>
                </pic:pic>
              </a:graphicData>
            </a:graphic>
          </wp:anchor>
        </w:drawing>
      </w:r>
    </w:p>
    <w:p>
      <w:pPr>
        <w:pStyle w:val="47"/>
        <w:ind w:firstLine="0" w:firstLineChars="0"/>
        <w:rPr>
          <w:rFonts w:asciiTheme="majorEastAsia" w:hAnsiTheme="majorEastAsia" w:eastAsiaTheme="majorEastAsia"/>
          <w:b/>
          <w:color w:val="000000" w:themeColor="text1"/>
          <w:szCs w:val="24"/>
          <w14:textFill>
            <w14:solidFill>
              <w14:schemeClr w14:val="tx1"/>
            </w14:solidFill>
          </w14:textFill>
        </w:rPr>
      </w:pP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14:textFill>
            <w14:solidFill>
              <w14:schemeClr w14:val="tx1"/>
            </w14:solidFill>
          </w14:textFill>
        </w:rPr>
      </w:pPr>
      <w:r>
        <w:rPr>
          <w:rFonts w:hint="eastAsia" w:cs="Times New Roman" w:asciiTheme="majorEastAsia" w:hAnsiTheme="majorEastAsia" w:eastAsiaTheme="majorEastAsia"/>
          <w:b/>
          <w:color w:val="000000" w:themeColor="text1"/>
          <w:sz w:val="24"/>
          <w:szCs w:val="24"/>
          <w14:textFill>
            <w14:solidFill>
              <w14:schemeClr w14:val="tx1"/>
            </w14:solidFill>
          </w14:textFill>
        </w:rPr>
        <w:t>2、</w:t>
      </w:r>
      <w:r>
        <w:rPr>
          <w:rFonts w:cs="Times New Roman" w:asciiTheme="majorEastAsia" w:hAnsiTheme="majorEastAsia" w:eastAsiaTheme="majorEastAsia"/>
          <w:b/>
          <w:color w:val="000000" w:themeColor="text1"/>
          <w:sz w:val="24"/>
          <w:szCs w:val="24"/>
          <w14:textFill>
            <w14:solidFill>
              <w14:schemeClr w14:val="tx1"/>
            </w14:solidFill>
          </w14:textFill>
        </w:rPr>
        <w:t>主要产品</w:t>
      </w:r>
    </w:p>
    <w:p>
      <w:pPr>
        <w:spacing w:line="360" w:lineRule="auto"/>
        <w:ind w:firstLine="480" w:firstLineChars="200"/>
        <w:jc w:val="left"/>
        <w:rPr>
          <w:sz w:val="24"/>
          <w:szCs w:val="18"/>
          <w:highlight w:val="none"/>
        </w:rPr>
      </w:pPr>
      <w:bookmarkStart w:id="13" w:name="_Hlk109653173"/>
      <w:bookmarkStart w:id="14" w:name="_Hlk88658465"/>
      <w:bookmarkStart w:id="15" w:name="_Hlk24620175"/>
      <w:r>
        <w:rPr>
          <w:rFonts w:hint="eastAsia"/>
          <w:sz w:val="24"/>
          <w:szCs w:val="18"/>
          <w:highlight w:val="none"/>
        </w:rPr>
        <w:t>公司始终本着“创新不停，求精不止”的宗旨和“智慧、勤实、共赢、持续”的核心价值观，是一家致力于自动化设备的研发、制造、销售和服务，集光、机、电和信息一体化的高新技术企业。公司主要生产注塑机机械手、冲压机机械手等系列产品及周边自动化设备，为客户量身定制提供专业的、最大效益化的自动化整体解决方案，产品广泛应用于电动工具、汽车配件、化妆品包材、日用品、医疗设备等行业领域。目前，公司产品主要销往长三角、珠三角、渤海湾等地区，服务客户包括公牛集团、天能集团、康德莱集团、哈尔斯等大型知名企业。</w:t>
      </w:r>
    </w:p>
    <w:bookmarkEnd w:id="13"/>
    <w:bookmarkEnd w:id="14"/>
    <w:p>
      <w:pPr>
        <w:spacing w:line="600" w:lineRule="exact"/>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主要产品图片如下：</w:t>
      </w:r>
      <w:bookmarkEnd w:id="15"/>
    </w:p>
    <w:p>
      <w:pPr>
        <w:spacing w:line="600" w:lineRule="exact"/>
        <w:jc w:val="left"/>
        <w:rPr>
          <w:rFonts w:hint="eastAsia" w:cs="Times New Roman" w:asciiTheme="minorEastAsia" w:hAnsiTheme="minorEastAsia"/>
          <w:kern w:val="0"/>
          <w:sz w:val="24"/>
          <w:szCs w:val="24"/>
        </w:rPr>
      </w:pPr>
    </w:p>
    <w:p>
      <w:pPr>
        <w:spacing w:before="156" w:beforeLines="50" w:after="156" w:afterLines="50"/>
        <w:outlineLvl w:val="0"/>
      </w:pPr>
      <w:r>
        <w:drawing>
          <wp:inline distT="0" distB="0" distL="114300" distR="114300">
            <wp:extent cx="5273040" cy="2417445"/>
            <wp:effectExtent l="0" t="0" r="381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273040" cy="2417445"/>
                    </a:xfrm>
                    <a:prstGeom prst="rect">
                      <a:avLst/>
                    </a:prstGeom>
                    <a:noFill/>
                    <a:ln>
                      <a:noFill/>
                    </a:ln>
                  </pic:spPr>
                </pic:pic>
              </a:graphicData>
            </a:graphic>
          </wp:inline>
        </w:drawing>
      </w:r>
      <w:r>
        <w:drawing>
          <wp:inline distT="0" distB="0" distL="114300" distR="114300">
            <wp:extent cx="5268595" cy="1149985"/>
            <wp:effectExtent l="0" t="0" r="825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268595" cy="1149985"/>
                    </a:xfrm>
                    <a:prstGeom prst="rect">
                      <a:avLst/>
                    </a:prstGeom>
                    <a:noFill/>
                    <a:ln>
                      <a:noFill/>
                    </a:ln>
                  </pic:spPr>
                </pic:pic>
              </a:graphicData>
            </a:graphic>
          </wp:inline>
        </w:drawing>
      </w:r>
      <w:r>
        <w:drawing>
          <wp:inline distT="0" distB="0" distL="114300" distR="114300">
            <wp:extent cx="5267960" cy="1106170"/>
            <wp:effectExtent l="0" t="0" r="8890" b="1778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5267960" cy="1106170"/>
                    </a:xfrm>
                    <a:prstGeom prst="rect">
                      <a:avLst/>
                    </a:prstGeom>
                    <a:noFill/>
                    <a:ln>
                      <a:noFill/>
                    </a:ln>
                  </pic:spPr>
                </pic:pic>
              </a:graphicData>
            </a:graphic>
          </wp:inline>
        </w:drawing>
      </w:r>
    </w:p>
    <w:p>
      <w:pPr>
        <w:spacing w:before="156" w:beforeLines="50" w:after="156" w:afterLines="50"/>
        <w:outlineLvl w:val="0"/>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5"/>
      <w:bookmarkEnd w:id="6"/>
    </w:p>
    <w:p>
      <w:pPr>
        <w:spacing w:before="156" w:beforeLines="50" w:after="156" w:afterLines="50"/>
        <w:outlineLvl w:val="1"/>
        <w:rPr>
          <w:rFonts w:cs="Times New Roman" w:asciiTheme="majorEastAsia" w:hAnsiTheme="majorEastAsia" w:eastAsiaTheme="majorEastAsia"/>
          <w:b/>
          <w:sz w:val="24"/>
          <w:szCs w:val="24"/>
        </w:rPr>
      </w:pPr>
      <w:bookmarkStart w:id="16" w:name="_Toc451610985"/>
      <w:bookmarkStart w:id="17" w:name="_Toc451610892"/>
      <w:r>
        <w:rPr>
          <w:rFonts w:hint="eastAsia" w:cs="Times New Roman" w:asciiTheme="majorEastAsia" w:hAnsiTheme="majorEastAsia" w:eastAsiaTheme="majorEastAsia"/>
          <w:b/>
          <w:sz w:val="24"/>
          <w:szCs w:val="24"/>
        </w:rPr>
        <w:t>（一）战略方向</w:t>
      </w:r>
      <w:bookmarkEnd w:id="16"/>
      <w:bookmarkEnd w:id="17"/>
    </w:p>
    <w:p>
      <w:pPr>
        <w:pStyle w:val="51"/>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1"/>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w:t>
      </w:r>
      <w:r>
        <w:rPr>
          <w:rFonts w:hint="eastAsia" w:asciiTheme="minorEastAsia" w:hAnsiTheme="minorEastAsia"/>
          <w:sz w:val="24"/>
          <w:szCs w:val="24"/>
          <w:highlight w:val="none"/>
          <w:lang w:val="en-US" w:eastAsia="zh-CN"/>
        </w:rPr>
        <w:t>自动化</w:t>
      </w:r>
      <w:r>
        <w:rPr>
          <w:rFonts w:hint="eastAsia" w:asciiTheme="minorEastAsia" w:hAnsiTheme="minorEastAsia"/>
          <w:sz w:val="24"/>
          <w:szCs w:val="24"/>
          <w:highlight w:val="none"/>
        </w:rPr>
        <w:t>设备产品</w:t>
      </w:r>
      <w:r>
        <w:rPr>
          <w:rFonts w:hint="eastAsia" w:asciiTheme="minorEastAsia" w:hAnsiTheme="minorEastAsia"/>
          <w:sz w:val="24"/>
          <w:szCs w:val="24"/>
        </w:rPr>
        <w:t>的需求也越来越大。公司将在原有销售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360" w:lineRule="auto"/>
        <w:outlineLvl w:val="1"/>
        <w:rPr>
          <w:rFonts w:asciiTheme="minorEastAsia" w:hAnsiTheme="minorEastAsia"/>
          <w:sz w:val="24"/>
          <w:szCs w:val="24"/>
        </w:rPr>
      </w:pPr>
      <w:bookmarkStart w:id="18" w:name="_Toc451610893"/>
      <w:bookmarkStart w:id="19" w:name="_Toc451610986"/>
      <w:r>
        <w:rPr>
          <w:rFonts w:hint="eastAsia" w:cs="Times New Roman" w:asciiTheme="majorEastAsia" w:hAnsiTheme="majorEastAsia" w:eastAsiaTheme="majorEastAsia"/>
          <w:b/>
          <w:sz w:val="24"/>
          <w:szCs w:val="24"/>
        </w:rPr>
        <w:t>（二）市场业绩</w:t>
      </w:r>
      <w:bookmarkEnd w:id="18"/>
      <w:bookmarkEnd w:id="19"/>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360" w:lineRule="auto"/>
        <w:ind w:firstLine="480" w:firstLineChars="200"/>
        <w:rPr>
          <w:rFonts w:asciiTheme="minorEastAsia" w:hAnsiTheme="minorEastAsia"/>
          <w:sz w:val="24"/>
          <w:szCs w:val="24"/>
          <w:highlight w:val="none"/>
        </w:rPr>
      </w:pPr>
      <w:r>
        <w:rPr>
          <w:rFonts w:hint="eastAsia" w:asciiTheme="minorEastAsia" w:hAnsiTheme="minorEastAsia"/>
          <w:sz w:val="24"/>
          <w:szCs w:val="24"/>
          <w:highlight w:val="none"/>
        </w:rPr>
        <w:t>公司始终本着“创新不停，求精不止”的宗旨和“智慧、勤实、共赢、持续”的核心价值观，是一家致力于智能机械手设计、生产和销售，集光、机、电和信息一体化的科技型企业，致力于为客户提供最佳的自动化整体解决方案和最优质的服务。2021年度，公司实现销售收入5279万元，同比增长32%，同时，公司近3年共上缴纳税756万元</w:t>
      </w:r>
      <w:r>
        <w:rPr>
          <w:rFonts w:hint="eastAsia" w:asciiTheme="minorEastAsia" w:hAnsiTheme="minorEastAsia"/>
          <w:sz w:val="24"/>
          <w:szCs w:val="24"/>
          <w:highlight w:val="none"/>
          <w:lang w:eastAsia="zh-CN"/>
        </w:rPr>
        <w:t>。目前，公司产品主要销往长三角、珠三角、渤海湾等地区，为塑料制品、电动工具、汽摩配、化妆品包材、日用品、医疗设备等领域提供配套产品与服务，服务客户包括公牛集团、天能集团、康德莱集团、哈尔斯等大型知名企业。近年来，公司注塑机机械手产品市场份额在金华地区一直处于领先地位，省内也长居前三。</w:t>
      </w:r>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600" w:firstLineChars="250"/>
        <w:rPr>
          <w:rFonts w:asciiTheme="minorEastAsia" w:hAnsiTheme="minorEastAsia"/>
          <w:sz w:val="24"/>
          <w:szCs w:val="24"/>
        </w:rPr>
      </w:pPr>
      <w:r>
        <w:rPr>
          <w:rFonts w:hint="eastAsia" w:asciiTheme="minorEastAsia" w:hAnsiTheme="minorEastAsia"/>
          <w:sz w:val="24"/>
          <w:szCs w:val="24"/>
        </w:rPr>
        <w:t>公司加强市场网络建设，以“创新破难，扩大规模增实力”的理念为指导思想，立足于公司的技术优势，继续维护好原有经销商的服务工作，利用品牌优势，坚持长期业务持续发展的指导方针、扩张市场份额。</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360" w:lineRule="auto"/>
        <w:ind w:firstLine="424" w:firstLineChars="177"/>
        <w:rPr>
          <w:rFonts w:ascii="宋体" w:hAnsi="宋体"/>
          <w:sz w:val="24"/>
        </w:rPr>
      </w:pPr>
      <w:bookmarkStart w:id="20" w:name="_Toc230143126"/>
      <w:bookmarkStart w:id="21" w:name="_Toc211149629"/>
      <w:r>
        <w:rPr>
          <w:rFonts w:hint="eastAsia" w:ascii="宋体" w:hAnsi="宋体"/>
          <w:sz w:val="24"/>
        </w:rPr>
        <w:t>公司已实行经营责任制，总经理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20"/>
      <w:bookmarkEnd w:id="21"/>
    </w:p>
    <w:p>
      <w:pPr>
        <w:spacing w:line="360" w:lineRule="auto"/>
        <w:ind w:firstLine="480" w:firstLineChars="200"/>
        <w:rPr>
          <w:rFonts w:ascii="宋体" w:hAnsi="宋体"/>
          <w:sz w:val="24"/>
        </w:rPr>
      </w:pPr>
      <w:bookmarkStart w:id="22" w:name="_Toc211149630"/>
      <w:bookmarkStart w:id="23" w:name="_Toc230143127"/>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管领导签署确认意见，财务部门严格把关。</w:t>
      </w:r>
    </w:p>
    <w:bookmarkEnd w:id="22"/>
    <w:bookmarkEnd w:id="23"/>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rPr>
      </w:pPr>
      <w:r>
        <w:rPr>
          <w:rFonts w:hint="eastAsia" w:ascii="宋体" w:hAnsi="宋体"/>
          <w:color w:val="000000"/>
          <w:sz w:val="24"/>
          <w:highlight w:val="none"/>
          <w:lang w:val="en-US" w:eastAsia="zh-CN"/>
        </w:rPr>
        <w:t>凯力特</w:t>
      </w:r>
      <w:r>
        <w:rPr>
          <w:rFonts w:hint="eastAsia" w:ascii="宋体" w:hAnsi="宋体"/>
          <w:color w:val="000000"/>
          <w:sz w:val="24"/>
        </w:rPr>
        <w:t>注重经营信息的透明和共享，人事任免、质量问题、先进方法、员工奖励等也都会定期在宣传栏中发布，广泛听取员工意见建议。</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4、</w:t>
      </w:r>
      <w:r>
        <w:rPr>
          <w:rFonts w:ascii="宋体" w:hAnsi="宋体"/>
          <w:b/>
          <w:sz w:val="24"/>
          <w:szCs w:val="24"/>
        </w:rPr>
        <w:t>审计的独立性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pPr>
        <w:spacing w:before="156" w:beforeLines="50" w:after="156" w:afterLines="50" w:line="276" w:lineRule="auto"/>
        <w:ind w:firstLine="426" w:firstLineChars="177"/>
        <w:rPr>
          <w:rFonts w:ascii="宋体" w:hAnsi="宋体"/>
          <w:b/>
          <w:sz w:val="24"/>
          <w:szCs w:val="24"/>
        </w:rPr>
      </w:pPr>
      <w:bookmarkStart w:id="24" w:name="_Toc211149631"/>
      <w:bookmarkStart w:id="25" w:name="_Toc230143129"/>
      <w:r>
        <w:rPr>
          <w:rFonts w:hint="eastAsia" w:ascii="宋体" w:hAnsi="宋体"/>
          <w:b/>
          <w:sz w:val="24"/>
          <w:szCs w:val="24"/>
        </w:rPr>
        <w:t>5、</w:t>
      </w:r>
      <w:r>
        <w:rPr>
          <w:rFonts w:ascii="宋体" w:hAnsi="宋体"/>
          <w:b/>
          <w:sz w:val="24"/>
          <w:szCs w:val="24"/>
        </w:rPr>
        <w:t>利益的保护</w:t>
      </w:r>
      <w:bookmarkEnd w:id="24"/>
      <w:bookmarkEnd w:id="25"/>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9"/>
        <w:spacing w:before="120"/>
        <w:jc w:val="center"/>
        <w:rPr>
          <w:rFonts w:ascii="宋体" w:hAnsi="宋体"/>
        </w:rPr>
      </w:pPr>
      <w:bookmarkStart w:id="26" w:name="_Ref326703132"/>
      <w:r>
        <w:rPr>
          <w:rFonts w:hint="eastAsia" w:ascii="宋体" w:hAnsi="宋体"/>
        </w:rPr>
        <w:t>表5-</w:t>
      </w:r>
      <w:bookmarkEnd w:id="26"/>
      <w:r>
        <w:rPr>
          <w:rFonts w:hint="eastAsia" w:ascii="宋体" w:hAnsi="宋体"/>
        </w:rPr>
        <w:t xml:space="preserve">1 </w:t>
      </w:r>
      <w:r>
        <w:rPr>
          <w:rFonts w:ascii="宋体" w:hAnsi="宋体"/>
        </w:rPr>
        <w:t>各相关方利益保护措施</w:t>
      </w:r>
    </w:p>
    <w:tbl>
      <w:tblPr>
        <w:tblStyle w:val="3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8D08D" w:themeFill="accent6" w:themeFillTint="99"/>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bookmarkStart w:id="27" w:name="_Toc451610895"/>
      <w:bookmarkStart w:id="28" w:name="_Toc451610988"/>
      <w:r>
        <w:rPr>
          <w:rFonts w:hint="eastAsia" w:cs="Times New Roman" w:asciiTheme="majorEastAsia" w:hAnsiTheme="majorEastAsia" w:eastAsiaTheme="majorEastAsia"/>
          <w:b/>
          <w:color w:val="000000" w:themeColor="text1"/>
          <w:sz w:val="28"/>
          <w:szCs w:val="24"/>
          <w14:textFill>
            <w14:solidFill>
              <w14:schemeClr w14:val="tx1"/>
            </w14:solidFill>
          </w14:textFill>
        </w:rPr>
        <w:t>四、社会责任</w:t>
      </w:r>
      <w:bookmarkEnd w:id="27"/>
      <w:bookmarkEnd w:id="28"/>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29" w:name="_Toc451610989"/>
      <w:bookmarkStart w:id="30" w:name="_Toc451610896"/>
      <w:r>
        <w:rPr>
          <w:rFonts w:hint="eastAsia" w:cs="Times New Roman" w:asciiTheme="majorEastAsia" w:hAnsiTheme="majorEastAsia" w:eastAsiaTheme="majorEastAsia"/>
          <w:b/>
          <w:color w:val="000000" w:themeColor="text1"/>
          <w:sz w:val="24"/>
          <w:szCs w:val="24"/>
          <w14:textFill>
            <w14:solidFill>
              <w14:schemeClr w14:val="tx1"/>
            </w14:solidFill>
          </w14:textFill>
        </w:rPr>
        <w:t>（一）诚信守法</w:t>
      </w:r>
      <w:bookmarkEnd w:id="29"/>
      <w:bookmarkEnd w:id="30"/>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w:t>
      </w:r>
      <w:r>
        <w:rPr>
          <w:rFonts w:hint="eastAsia" w:cs="Times New Roman" w:asciiTheme="minorEastAsia" w:hAnsiTheme="minorEastAsia"/>
          <w:sz w:val="24"/>
          <w:szCs w:val="24"/>
          <w:lang w:val="en-US" w:eastAsia="zh-CN"/>
        </w:rPr>
        <w:t>民法典</w:t>
      </w:r>
      <w:r>
        <w:rPr>
          <w:rFonts w:cs="Times New Roman" w:asciiTheme="minorEastAsia" w:hAnsiTheme="minorEastAsia"/>
          <w:sz w:val="24"/>
          <w:szCs w:val="24"/>
        </w:rPr>
        <w:t>》、《产品质量法》、《安全生产法》、《环保法》、《劳动法》以及</w:t>
      </w:r>
      <w:r>
        <w:rPr>
          <w:rFonts w:hint="eastAsia" w:cs="Times New Roman" w:asciiTheme="minorEastAsia" w:hAnsiTheme="minorEastAsia"/>
          <w:sz w:val="24"/>
          <w:szCs w:val="24"/>
          <w:highlight w:val="none"/>
          <w:lang w:val="en-US" w:eastAsia="zh-CN"/>
        </w:rPr>
        <w:t>自动化设备</w:t>
      </w:r>
      <w:r>
        <w:rPr>
          <w:rFonts w:hint="eastAsia" w:cs="Times New Roman" w:asciiTheme="minorEastAsia" w:hAnsiTheme="minorEastAsia"/>
          <w:sz w:val="24"/>
          <w:szCs w:val="24"/>
        </w:rPr>
        <w:t>行业</w:t>
      </w:r>
      <w:r>
        <w:rPr>
          <w:rFonts w:cs="Times New Roman" w:asciiTheme="minorEastAsia" w:hAnsiTheme="minorEastAsia"/>
          <w:sz w:val="24"/>
          <w:szCs w:val="24"/>
        </w:rPr>
        <w:t>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31" w:name="_Toc451610990"/>
      <w:bookmarkStart w:id="32" w:name="_Toc451610897"/>
      <w:r>
        <w:rPr>
          <w:rFonts w:hint="eastAsia" w:cs="Times New Roman" w:asciiTheme="majorEastAsia" w:hAnsiTheme="majorEastAsia" w:eastAsiaTheme="majorEastAsia"/>
          <w:b/>
          <w:color w:val="000000" w:themeColor="text1"/>
          <w:sz w:val="24"/>
          <w:szCs w:val="24"/>
          <w14:textFill>
            <w14:solidFill>
              <w14:schemeClr w14:val="tx1"/>
            </w14:solidFill>
          </w14:textFill>
        </w:rPr>
        <w:t>（二）质量安全</w:t>
      </w:r>
      <w:bookmarkEnd w:id="31"/>
      <w:bookmarkEnd w:id="32"/>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r>
        <w:rPr>
          <w:rFonts w:hint="eastAsia" w:cs="Times New Roman" w:asciiTheme="minorEastAsia" w:hAnsiTheme="minorEastAsia"/>
          <w:sz w:val="24"/>
          <w:szCs w:val="24"/>
        </w:rPr>
        <w:t>。</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14:textFill>
            <w14:solidFill>
              <w14:schemeClr w14:val="tx1"/>
            </w14:solidFill>
          </w14:textFill>
        </w:rPr>
      </w:pPr>
      <w:bookmarkStart w:id="33" w:name="_Toc451610991"/>
      <w:bookmarkStart w:id="34" w:name="_Toc451610898"/>
      <w:r>
        <w:rPr>
          <w:rFonts w:hint="eastAsia" w:cs="Times New Roman" w:asciiTheme="majorEastAsia" w:hAnsiTheme="majorEastAsia" w:eastAsiaTheme="majorEastAsia"/>
          <w:b/>
          <w:color w:val="000000" w:themeColor="text1"/>
          <w:sz w:val="24"/>
          <w:szCs w:val="24"/>
          <w14:textFill>
            <w14:solidFill>
              <w14:schemeClr w14:val="tx1"/>
            </w14:solidFill>
          </w14:textFill>
        </w:rPr>
        <w:t>（三）员工权益</w:t>
      </w:r>
      <w:bookmarkEnd w:id="33"/>
      <w:bookmarkEnd w:id="34"/>
      <w:bookmarkStart w:id="35" w:name="_Ref328491126"/>
    </w:p>
    <w:bookmarkEnd w:id="35"/>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Theme="minorEastAsia" w:hAnsiTheme="minorEastAsia"/>
          <w:sz w:val="24"/>
          <w:szCs w:val="24"/>
        </w:rPr>
        <w:t>险</w:t>
      </w:r>
      <w:r>
        <w:rPr>
          <w:rFonts w:asciiTheme="minorEastAsia" w:hAnsiTheme="minorEastAsia"/>
          <w:sz w:val="24"/>
          <w:szCs w:val="24"/>
        </w:rPr>
        <w:t>金、生育保险金。</w:t>
      </w:r>
      <w:r>
        <w:rPr>
          <w:rFonts w:hint="eastAsia" w:asciiTheme="minorEastAsia" w:hAnsiTheme="minorEastAsia"/>
          <w:sz w:val="24"/>
          <w:szCs w:val="24"/>
        </w:rPr>
        <w:t>员工可享受法定休假、婚假、丧假、产假等带薪假期。公司</w:t>
      </w:r>
      <w:r>
        <w:rPr>
          <w:rFonts w:asciiTheme="minorEastAsia" w:hAnsiTheme="minorEastAsia"/>
          <w:sz w:val="24"/>
          <w:szCs w:val="24"/>
        </w:rPr>
        <w:t>社会保险覆盖面为</w:t>
      </w:r>
      <w:r>
        <w:rPr>
          <w:rFonts w:hint="eastAsia" w:asciiTheme="minorEastAsia" w:hAnsiTheme="minorEastAsia"/>
          <w:sz w:val="24"/>
          <w:szCs w:val="24"/>
        </w:rPr>
        <w:t>100</w:t>
      </w:r>
      <w:r>
        <w:rPr>
          <w:rFonts w:asciiTheme="minorEastAsia" w:hAnsiTheme="minorEastAsia"/>
          <w:sz w:val="24"/>
          <w:szCs w:val="24"/>
        </w:rPr>
        <w:t>%，劳动合同</w:t>
      </w:r>
      <w:r>
        <w:rPr>
          <w:rFonts w:hint="eastAsia" w:asciiTheme="minorEastAsia" w:hAnsiTheme="minorEastAsia"/>
          <w:sz w:val="24"/>
          <w:szCs w:val="24"/>
        </w:rPr>
        <w:t>签订</w:t>
      </w:r>
      <w:r>
        <w:rPr>
          <w:rFonts w:asciiTheme="minorEastAsia" w:hAnsiTheme="minorEastAsia"/>
          <w:sz w:val="24"/>
          <w:szCs w:val="24"/>
        </w:rPr>
        <w:t>率为</w:t>
      </w:r>
      <w:r>
        <w:rPr>
          <w:rFonts w:hint="eastAsia" w:asciiTheme="minorEastAsia" w:hAnsiTheme="minorEastAsia"/>
          <w:sz w:val="24"/>
          <w:szCs w:val="24"/>
        </w:rPr>
        <w:t>100</w:t>
      </w:r>
      <w:r>
        <w:rPr>
          <w:rFonts w:asciiTheme="minorEastAsia" w:hAnsiTheme="minorEastAsia"/>
          <w:sz w:val="24"/>
          <w:szCs w:val="24"/>
        </w:rPr>
        <w:t>%。</w:t>
      </w:r>
      <w:r>
        <w:rPr>
          <w:rFonts w:hint="eastAsia" w:asciiTheme="minorEastAsia" w:hAnsiTheme="minorEastAsia"/>
          <w:sz w:val="24"/>
          <w:szCs w:val="24"/>
        </w:rPr>
        <w:t>同时，员工享有外出参观学习、发放过</w:t>
      </w:r>
      <w:r>
        <w:rPr>
          <w:rFonts w:hint="eastAsia" w:cs="Times New Roman" w:asciiTheme="minorEastAsia" w:hAnsiTheme="minorEastAsia"/>
          <w:kern w:val="0"/>
          <w:sz w:val="24"/>
          <w:szCs w:val="24"/>
        </w:rPr>
        <w:t>节福利、防暑降温药品等福利。公司</w:t>
      </w:r>
      <w:r>
        <w:rPr>
          <w:rFonts w:cs="Times New Roman" w:asciiTheme="minorEastAsia" w:hAnsiTheme="minorEastAsia"/>
          <w:kern w:val="0"/>
          <w:sz w:val="24"/>
          <w:szCs w:val="24"/>
        </w:rPr>
        <w:t>不断完善员工反映问题和</w:t>
      </w:r>
      <w:r>
        <w:rPr>
          <w:rFonts w:hint="eastAsia" w:cs="Times New Roman" w:asciiTheme="minorEastAsia" w:hAnsiTheme="minorEastAsia"/>
          <w:kern w:val="0"/>
          <w:sz w:val="24"/>
          <w:szCs w:val="24"/>
        </w:rPr>
        <w:t>诉求</w:t>
      </w:r>
      <w:r>
        <w:rPr>
          <w:rFonts w:cs="Times New Roman" w:asciiTheme="minorEastAsia" w:hAnsiTheme="minorEastAsia"/>
          <w:kern w:val="0"/>
          <w:sz w:val="24"/>
          <w:szCs w:val="24"/>
        </w:rPr>
        <w:t>的渠道及处理机制</w:t>
      </w:r>
      <w:r>
        <w:rPr>
          <w:rFonts w:hint="eastAsia" w:cs="Times New Roman" w:asciiTheme="minorEastAsia" w:hAnsiTheme="minorEastAsia"/>
          <w:kern w:val="0"/>
          <w:sz w:val="24"/>
          <w:szCs w:val="24"/>
        </w:rPr>
        <w:t>。员工可</w:t>
      </w:r>
      <w:r>
        <w:rPr>
          <w:rFonts w:cs="Times New Roman" w:asciiTheme="minorEastAsia" w:hAnsiTheme="minorEastAsia"/>
          <w:kern w:val="0"/>
          <w:sz w:val="24"/>
          <w:szCs w:val="24"/>
        </w:rPr>
        <w:t>通过电话、微信</w:t>
      </w:r>
      <w:r>
        <w:rPr>
          <w:rFonts w:hint="eastAsia" w:cs="Times New Roman" w:asciiTheme="minorEastAsia" w:hAnsiTheme="minorEastAsia"/>
          <w:kern w:val="0"/>
          <w:sz w:val="24"/>
          <w:szCs w:val="24"/>
        </w:rPr>
        <w:t>等</w:t>
      </w:r>
      <w:r>
        <w:rPr>
          <w:rFonts w:cs="Times New Roman" w:asciiTheme="minorEastAsia" w:hAnsiTheme="minorEastAsia"/>
          <w:kern w:val="0"/>
          <w:sz w:val="24"/>
          <w:szCs w:val="24"/>
        </w:rPr>
        <w:t>渠道，反映</w:t>
      </w:r>
      <w:r>
        <w:rPr>
          <w:rFonts w:hint="eastAsia" w:cs="Times New Roman" w:asciiTheme="minorEastAsia" w:hAnsiTheme="minorEastAsia"/>
          <w:kern w:val="0"/>
          <w:sz w:val="24"/>
          <w:szCs w:val="24"/>
        </w:rPr>
        <w:t>他们</w:t>
      </w:r>
      <w:r>
        <w:rPr>
          <w:rFonts w:cs="Times New Roman" w:asciiTheme="minorEastAsia" w:hAnsiTheme="minorEastAsia"/>
          <w:kern w:val="0"/>
          <w:sz w:val="24"/>
          <w:szCs w:val="24"/>
        </w:rPr>
        <w:t>遇到或可能发生的问题。公司</w:t>
      </w:r>
      <w:r>
        <w:rPr>
          <w:rFonts w:hint="eastAsia" w:cs="Times New Roman" w:asciiTheme="minorEastAsia" w:hAnsiTheme="minorEastAsia"/>
          <w:kern w:val="0"/>
          <w:sz w:val="24"/>
          <w:szCs w:val="24"/>
        </w:rPr>
        <w:t>高度</w:t>
      </w:r>
      <w:r>
        <w:rPr>
          <w:rFonts w:cs="Times New Roman" w:asciiTheme="minorEastAsia" w:hAnsiTheme="minorEastAsia"/>
          <w:kern w:val="0"/>
          <w:sz w:val="24"/>
          <w:szCs w:val="24"/>
        </w:rPr>
        <w:t>重视员工申述</w:t>
      </w:r>
      <w:r>
        <w:rPr>
          <w:rFonts w:hint="eastAsia" w:cs="Times New Roman" w:asciiTheme="minorEastAsia" w:hAnsiTheme="minorEastAsia"/>
          <w:kern w:val="0"/>
          <w:sz w:val="24"/>
          <w:szCs w:val="24"/>
        </w:rPr>
        <w:t>事件</w:t>
      </w:r>
      <w:r>
        <w:rPr>
          <w:rFonts w:cs="Times New Roman" w:asciiTheme="minorEastAsia" w:hAnsiTheme="minorEastAsia"/>
          <w:kern w:val="0"/>
          <w:sz w:val="24"/>
          <w:szCs w:val="24"/>
        </w:rPr>
        <w:t>，保证处理程序正当、依据明确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360" w:lineRule="auto"/>
        <w:ind w:firstLine="480" w:firstLineChars="200"/>
        <w:rPr>
          <w:rFonts w:ascii="宋体" w:hAnsi="宋体" w:eastAsia="宋体" w:cs="Helvetica"/>
          <w:b/>
          <w:bCs/>
          <w:color w:val="000000" w:themeColor="text1"/>
          <w:kern w:val="0"/>
          <w:sz w:val="24"/>
          <w:szCs w:val="24"/>
          <w:lang w:val="en"/>
          <w14:textFill>
            <w14:solidFill>
              <w14:schemeClr w14:val="tx1"/>
            </w14:solidFill>
          </w14:textFill>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36" w:name="_Toc451610993"/>
      <w:bookmarkStart w:id="37" w:name="_Toc451610900"/>
    </w:p>
    <w:bookmarkEnd w:id="36"/>
    <w:bookmarkEnd w:id="37"/>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14:textFill>
            <w14:solidFill>
              <w14:schemeClr w14:val="tx1"/>
            </w14:solidFill>
          </w14:textFill>
        </w:rPr>
      </w:pPr>
      <w:r>
        <w:rPr>
          <w:rFonts w:hint="eastAsia" w:cs="Times New Roman" w:asciiTheme="majorEastAsia" w:hAnsiTheme="majorEastAsia" w:eastAsiaTheme="majorEastAsia"/>
          <w:b/>
          <w:color w:val="000000" w:themeColor="text1"/>
          <w:sz w:val="28"/>
          <w:szCs w:val="24"/>
          <w14:textFill>
            <w14:solidFill>
              <w14:schemeClr w14:val="tx1"/>
            </w14:solidFill>
          </w14:textFill>
        </w:rPr>
        <w:t>五、环境责任</w:t>
      </w:r>
    </w:p>
    <w:p>
      <w:pPr>
        <w:spacing w:line="360" w:lineRule="auto"/>
        <w:ind w:firstLine="480" w:firstLineChars="200"/>
        <w:rPr>
          <w:rFonts w:ascii="宋体" w:hAnsi="宋体" w:eastAsia="宋体" w:cs="Times New Roman"/>
          <w:kern w:val="0"/>
          <w:sz w:val="24"/>
          <w:szCs w:val="24"/>
          <w:lang w:val="zh-CN"/>
        </w:rPr>
      </w:pPr>
      <w:r>
        <w:rPr>
          <w:rFonts w:cs="Times New Roman" w:asciiTheme="minorEastAsia" w:hAnsiTheme="minorEastAsia"/>
          <w:kern w:val="0"/>
          <w:sz w:val="24"/>
          <w:szCs w:val="24"/>
          <w:lang w:val="zh-CN"/>
        </w:rPr>
        <w:t>公司坚持“</w:t>
      </w:r>
      <w:r>
        <w:rPr>
          <w:rFonts w:hint="eastAsia" w:cs="Times New Roman" w:asciiTheme="minorEastAsia" w:hAnsiTheme="minorEastAsia"/>
          <w:kern w:val="0"/>
          <w:sz w:val="24"/>
          <w:szCs w:val="24"/>
          <w:highlight w:val="none"/>
          <w:lang w:val="zh-CN"/>
        </w:rPr>
        <w:t>清洁生产 节能降耗 保护环境 持续发展</w:t>
      </w:r>
      <w:r>
        <w:rPr>
          <w:rFonts w:cs="Times New Roman" w:asciiTheme="minorEastAsia" w:hAnsiTheme="minorEastAsia"/>
          <w:kern w:val="0"/>
          <w:sz w:val="24"/>
          <w:szCs w:val="24"/>
          <w:lang w:val="zh-CN"/>
        </w:rPr>
        <w:t>”的环保方针，通过不断改进技术与工艺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hAnsi="宋体" w:eastAsia="宋体" w:cs="Times New Roman"/>
          <w:kern w:val="0"/>
          <w:sz w:val="24"/>
          <w:szCs w:val="24"/>
          <w:lang w:val="zh-CN"/>
        </w:rPr>
        <w:t>。</w:t>
      </w:r>
    </w:p>
    <w:p>
      <w:pPr>
        <w:spacing w:before="156" w:beforeLines="50" w:after="156" w:afterLines="50" w:line="276" w:lineRule="auto"/>
        <w:outlineLvl w:val="1"/>
        <w:rPr>
          <w:rFonts w:ascii="宋体" w:hAnsi="宋体" w:eastAsia="宋体" w:cs="Times New Roman"/>
          <w:b/>
          <w:sz w:val="24"/>
          <w:szCs w:val="24"/>
        </w:rPr>
      </w:pPr>
      <w:bookmarkStart w:id="38" w:name="_Toc451610902"/>
      <w:bookmarkStart w:id="39" w:name="_Toc451610995"/>
      <w:r>
        <w:rPr>
          <w:rFonts w:hint="eastAsia" w:ascii="宋体" w:hAnsi="宋体" w:eastAsia="宋体" w:cs="Times New Roman"/>
          <w:b/>
          <w:sz w:val="24"/>
          <w:szCs w:val="24"/>
        </w:rPr>
        <w:t>（一）环境保护</w:t>
      </w:r>
      <w:bookmarkEnd w:id="38"/>
      <w:bookmarkEnd w:id="39"/>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环境因素识别与评价控制程序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、《环境、职业健康安全运行控制》</w:t>
      </w:r>
      <w:r>
        <w:rPr>
          <w:rFonts w:cs="Times New Roman" w:asciiTheme="minorEastAsia" w:hAnsiTheme="minorEastAsia"/>
          <w:kern w:val="0"/>
          <w:sz w:val="24"/>
          <w:szCs w:val="24"/>
          <w:lang w:val="zh-CN"/>
        </w:rPr>
        <w:t>等制度和管理办法</w:t>
      </w:r>
      <w:r>
        <w:rPr>
          <w:rFonts w:hint="eastAsia" w:cs="Times New Roman" w:asciiTheme="minorEastAsia" w:hAnsiTheme="minorEastAsia"/>
          <w:kern w:val="0"/>
          <w:sz w:val="24"/>
          <w:szCs w:val="24"/>
          <w:lang w:val="zh-CN"/>
        </w:rPr>
        <w:t>。</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spacing w:before="156" w:beforeLines="50" w:after="156" w:afterLines="50" w:line="276" w:lineRule="auto"/>
        <w:outlineLvl w:val="1"/>
        <w:rPr>
          <w:rFonts w:ascii="宋体" w:hAnsi="宋体" w:eastAsia="宋体" w:cs="Times New Roman"/>
          <w:b/>
          <w:sz w:val="24"/>
          <w:szCs w:val="24"/>
        </w:rPr>
      </w:pPr>
      <w:r>
        <w:rPr>
          <w:rFonts w:hint="eastAsia" w:ascii="宋体" w:hAnsi="宋体" w:eastAsia="宋体" w:cs="Times New Roman"/>
          <w:b/>
          <w:sz w:val="24"/>
          <w:szCs w:val="24"/>
        </w:rPr>
        <w:t>（二）道德行为：</w:t>
      </w:r>
    </w:p>
    <w:p>
      <w:pPr>
        <w:pStyle w:val="86"/>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spacing w:before="156" w:beforeLines="50" w:after="156" w:afterLines="50" w:line="276" w:lineRule="auto"/>
        <w:outlineLvl w:val="1"/>
        <w:rPr>
          <w:rFonts w:ascii="宋体" w:hAnsi="宋体" w:eastAsia="宋体" w:cs="Times New Roman"/>
          <w:b/>
          <w:sz w:val="24"/>
          <w:szCs w:val="24"/>
        </w:rPr>
      </w:pPr>
      <w:r>
        <w:rPr>
          <w:rFonts w:hint="eastAsia" w:ascii="宋体" w:hAnsi="宋体" w:eastAsia="宋体" w:cs="Times New Roman"/>
          <w:b/>
          <w:sz w:val="24"/>
          <w:szCs w:val="24"/>
        </w:rPr>
        <w:t>（三）公益支持：</w:t>
      </w:r>
    </w:p>
    <w:p>
      <w:pPr>
        <w:pStyle w:val="86"/>
        <w:ind w:firstLine="480"/>
        <w:rPr>
          <w:rFonts w:asciiTheme="minorEastAsia" w:hAnsiTheme="minorEastAsia" w:eastAsiaTheme="minorEastAsia"/>
          <w:bCs w:val="0"/>
          <w:color w:val="FF0000"/>
          <w:kern w:val="0"/>
          <w:lang w:val="zh-CN"/>
        </w:rPr>
      </w:pPr>
      <w:r>
        <w:rPr>
          <w:rFonts w:hint="eastAsia" w:asciiTheme="minorEastAsia" w:hAnsiTheme="minorEastAsia" w:eastAsiaTheme="minorEastAsia"/>
          <w:bCs w:val="0"/>
          <w:kern w:val="0"/>
          <w:lang w:val="zh-CN"/>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企业的社会责任。公司在注重企业经营的同时，不忘社会责任，积极组织参加各类公益慈善活动。与市、区慈善总会共建慈善基金。</w:t>
      </w:r>
    </w:p>
    <w:tbl>
      <w:tblPr>
        <w:tblStyle w:val="38"/>
        <w:tblW w:w="815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8"/>
        <w:gridCol w:w="2145"/>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848" w:type="dxa"/>
            <w:shd w:val="clear" w:color="auto" w:fill="auto"/>
            <w:vAlign w:val="center"/>
          </w:tcPr>
          <w:p>
            <w:pPr>
              <w:widowControl/>
              <w:jc w:val="center"/>
              <w:rPr>
                <w:rFonts w:cs="Times New Roman" w:asciiTheme="minorEastAsia" w:hAnsiTheme="minorEastAsia"/>
                <w:kern w:val="0"/>
                <w:sz w:val="24"/>
                <w:szCs w:val="24"/>
                <w:highlight w:val="none"/>
                <w:lang w:val="zh-CN"/>
              </w:rPr>
            </w:pPr>
            <w:r>
              <w:rPr>
                <w:rFonts w:hint="eastAsia" w:cs="Times New Roman" w:asciiTheme="minorEastAsia" w:hAnsiTheme="minorEastAsia"/>
                <w:kern w:val="0"/>
                <w:sz w:val="24"/>
                <w:szCs w:val="24"/>
                <w:highlight w:val="none"/>
                <w:lang w:val="zh-CN"/>
              </w:rPr>
              <w:t>项目</w:t>
            </w:r>
          </w:p>
        </w:tc>
        <w:tc>
          <w:tcPr>
            <w:tcW w:w="2145" w:type="dxa"/>
            <w:shd w:val="clear" w:color="auto" w:fill="auto"/>
            <w:vAlign w:val="center"/>
          </w:tcPr>
          <w:p>
            <w:pPr>
              <w:widowControl/>
              <w:jc w:val="center"/>
              <w:rPr>
                <w:rFonts w:cs="Times New Roman" w:asciiTheme="minorEastAsia" w:hAnsiTheme="minorEastAsia"/>
                <w:kern w:val="0"/>
                <w:sz w:val="24"/>
                <w:szCs w:val="24"/>
                <w:highlight w:val="none"/>
                <w:lang w:val="zh-CN"/>
              </w:rPr>
            </w:pPr>
            <w:r>
              <w:rPr>
                <w:rFonts w:hint="eastAsia" w:cs="Times New Roman" w:asciiTheme="minorEastAsia" w:hAnsiTheme="minorEastAsia"/>
                <w:kern w:val="0"/>
                <w:sz w:val="24"/>
                <w:szCs w:val="24"/>
                <w:highlight w:val="none"/>
                <w:lang w:val="zh-CN"/>
              </w:rPr>
              <w:t>捐赠时间</w:t>
            </w:r>
          </w:p>
        </w:tc>
        <w:tc>
          <w:tcPr>
            <w:tcW w:w="2157" w:type="dxa"/>
            <w:shd w:val="clear" w:color="auto" w:fill="auto"/>
            <w:vAlign w:val="center"/>
          </w:tcPr>
          <w:p>
            <w:pPr>
              <w:widowControl/>
              <w:jc w:val="center"/>
              <w:rPr>
                <w:rFonts w:cs="Times New Roman" w:asciiTheme="minorEastAsia" w:hAnsiTheme="minorEastAsia"/>
                <w:kern w:val="0"/>
                <w:sz w:val="24"/>
                <w:szCs w:val="24"/>
                <w:highlight w:val="none"/>
                <w:lang w:val="zh-CN"/>
              </w:rPr>
            </w:pPr>
            <w:r>
              <w:rPr>
                <w:rFonts w:hint="eastAsia" w:cs="Times New Roman" w:asciiTheme="minorEastAsia" w:hAnsiTheme="minorEastAsia"/>
                <w:kern w:val="0"/>
                <w:sz w:val="24"/>
                <w:szCs w:val="24"/>
                <w:highlight w:val="none"/>
                <w:lang w:val="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default" w:cs="Times New Roman" w:asciiTheme="minorEastAsia" w:hAnsiTheme="minorEastAsia" w:eastAsiaTheme="minorEastAsia"/>
                <w:kern w:val="0"/>
                <w:sz w:val="24"/>
                <w:szCs w:val="24"/>
                <w:highlight w:val="none"/>
                <w:lang w:val="en-US" w:eastAsia="zh-CN"/>
              </w:rPr>
            </w:pPr>
            <w:r>
              <w:rPr>
                <w:rFonts w:hint="eastAsia"/>
                <w:highlight w:val="none"/>
                <w:lang w:val="en-US" w:eastAsia="zh-CN"/>
              </w:rPr>
              <w:t>疫情捐款</w:t>
            </w:r>
          </w:p>
        </w:tc>
        <w:tc>
          <w:tcPr>
            <w:tcW w:w="2145" w:type="dxa"/>
            <w:shd w:val="clear" w:color="auto" w:fill="auto"/>
          </w:tcPr>
          <w:p>
            <w:pPr>
              <w:widowControl/>
              <w:jc w:val="center"/>
              <w:textAlignment w:val="center"/>
              <w:rPr>
                <w:rFonts w:cs="Times New Roman" w:asciiTheme="minorEastAsia" w:hAnsiTheme="minorEastAsia"/>
                <w:kern w:val="0"/>
                <w:sz w:val="24"/>
                <w:szCs w:val="24"/>
                <w:highlight w:val="none"/>
              </w:rPr>
            </w:pPr>
            <w:r>
              <w:rPr>
                <w:highlight w:val="none"/>
              </w:rPr>
              <w:t>2020</w:t>
            </w:r>
          </w:p>
        </w:tc>
        <w:tc>
          <w:tcPr>
            <w:tcW w:w="2157" w:type="dxa"/>
            <w:shd w:val="clear" w:color="auto" w:fill="auto"/>
          </w:tcPr>
          <w:p>
            <w:pPr>
              <w:widowControl/>
              <w:jc w:val="center"/>
              <w:textAlignment w:val="center"/>
              <w:rPr>
                <w:rFonts w:hint="eastAsia" w:cs="Times New Roman" w:asciiTheme="minorEastAsia" w:hAnsiTheme="minorEastAsia" w:eastAsiaTheme="minorEastAsia"/>
                <w:kern w:val="0"/>
                <w:sz w:val="24"/>
                <w:szCs w:val="24"/>
                <w:highlight w:val="none"/>
                <w:lang w:val="en-US" w:eastAsia="zh-CN"/>
              </w:rPr>
            </w:pPr>
            <w:r>
              <w:rPr>
                <w:highlight w:val="none"/>
              </w:rPr>
              <w:t>20000</w:t>
            </w:r>
            <w:r>
              <w:rPr>
                <w:rFonts w:hint="eastAsia"/>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eastAsia"/>
                <w:highlight w:val="none"/>
                <w:lang w:val="en-US" w:eastAsia="zh-CN"/>
              </w:rPr>
            </w:pPr>
            <w:r>
              <w:rPr>
                <w:rFonts w:hint="eastAsia"/>
                <w:highlight w:val="none"/>
                <w:lang w:val="en-US" w:eastAsia="zh-CN"/>
              </w:rPr>
              <w:t>金华市慈善总会捐款</w:t>
            </w:r>
          </w:p>
        </w:tc>
        <w:tc>
          <w:tcPr>
            <w:tcW w:w="2145"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2020</w:t>
            </w:r>
          </w:p>
        </w:tc>
        <w:tc>
          <w:tcPr>
            <w:tcW w:w="2157"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eastAsia" w:cs="Times New Roman" w:asciiTheme="minorEastAsia" w:hAnsiTheme="minorEastAsia" w:eastAsiaTheme="minorEastAsia"/>
                <w:kern w:val="0"/>
                <w:sz w:val="24"/>
                <w:szCs w:val="24"/>
                <w:highlight w:val="none"/>
                <w:lang w:eastAsia="zh-CN"/>
              </w:rPr>
            </w:pPr>
            <w:r>
              <w:rPr>
                <w:rFonts w:hint="eastAsia"/>
                <w:highlight w:val="none"/>
                <w:lang w:val="en-US" w:eastAsia="zh-CN"/>
              </w:rPr>
              <w:t>疫情捐款</w:t>
            </w:r>
          </w:p>
        </w:tc>
        <w:tc>
          <w:tcPr>
            <w:tcW w:w="2145" w:type="dxa"/>
            <w:shd w:val="clear" w:color="auto" w:fill="auto"/>
          </w:tcPr>
          <w:p>
            <w:pPr>
              <w:widowControl/>
              <w:jc w:val="center"/>
              <w:textAlignment w:val="center"/>
              <w:rPr>
                <w:rFonts w:cs="Times New Roman" w:asciiTheme="minorEastAsia" w:hAnsiTheme="minorEastAsia"/>
                <w:kern w:val="0"/>
                <w:sz w:val="24"/>
                <w:szCs w:val="24"/>
                <w:highlight w:val="none"/>
              </w:rPr>
            </w:pPr>
            <w:r>
              <w:rPr>
                <w:highlight w:val="none"/>
              </w:rPr>
              <w:t>2021</w:t>
            </w:r>
          </w:p>
        </w:tc>
        <w:tc>
          <w:tcPr>
            <w:tcW w:w="2157" w:type="dxa"/>
            <w:shd w:val="clear" w:color="auto" w:fill="auto"/>
          </w:tcPr>
          <w:p>
            <w:pPr>
              <w:widowControl/>
              <w:jc w:val="center"/>
              <w:textAlignment w:val="center"/>
              <w:rPr>
                <w:rFonts w:cs="Times New Roman" w:asciiTheme="minorEastAsia" w:hAnsiTheme="minorEastAsia"/>
                <w:kern w:val="0"/>
                <w:sz w:val="24"/>
                <w:szCs w:val="24"/>
                <w:highlight w:val="none"/>
              </w:rPr>
            </w:pPr>
            <w:r>
              <w:rPr>
                <w:rFonts w:hint="eastAsia"/>
                <w:highlight w:val="none"/>
                <w:lang w:val="en-US" w:eastAsia="zh-CN"/>
              </w:rPr>
              <w:t>15</w:t>
            </w:r>
            <w:r>
              <w:rPr>
                <w:highlight w:val="none"/>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金华市慈善总会捐款</w:t>
            </w:r>
          </w:p>
        </w:tc>
        <w:tc>
          <w:tcPr>
            <w:tcW w:w="2145"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2021</w:t>
            </w:r>
          </w:p>
        </w:tc>
        <w:tc>
          <w:tcPr>
            <w:tcW w:w="2157"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default"/>
                <w:highlight w:val="none"/>
                <w:lang w:val="en-US" w:eastAsia="zh-CN"/>
              </w:rPr>
            </w:pPr>
            <w:r>
              <w:rPr>
                <w:rFonts w:hint="eastAsia"/>
                <w:highlight w:val="none"/>
                <w:lang w:val="en-US" w:eastAsia="zh-CN"/>
              </w:rPr>
              <w:t>困难员工帮扶</w:t>
            </w:r>
          </w:p>
        </w:tc>
        <w:tc>
          <w:tcPr>
            <w:tcW w:w="2145" w:type="dxa"/>
            <w:shd w:val="clear" w:color="auto" w:fill="auto"/>
          </w:tcPr>
          <w:p>
            <w:pPr>
              <w:widowControl/>
              <w:jc w:val="center"/>
              <w:textAlignment w:val="center"/>
              <w:rPr>
                <w:rFonts w:hint="default"/>
                <w:highlight w:val="none"/>
                <w:lang w:val="en-US" w:eastAsia="zh-CN"/>
              </w:rPr>
            </w:pPr>
            <w:r>
              <w:rPr>
                <w:rFonts w:hint="eastAsia"/>
                <w:highlight w:val="none"/>
                <w:lang w:val="en-US" w:eastAsia="zh-CN"/>
              </w:rPr>
              <w:t>2021</w:t>
            </w:r>
          </w:p>
        </w:tc>
        <w:tc>
          <w:tcPr>
            <w:tcW w:w="2157" w:type="dxa"/>
            <w:shd w:val="clear" w:color="auto" w:fill="auto"/>
          </w:tcPr>
          <w:p>
            <w:pPr>
              <w:widowControl/>
              <w:jc w:val="center"/>
              <w:textAlignment w:val="center"/>
              <w:rPr>
                <w:rFonts w:hint="default"/>
                <w:highlight w:val="none"/>
                <w:lang w:val="en-US" w:eastAsia="zh-CN"/>
              </w:rPr>
            </w:pPr>
            <w:r>
              <w:rPr>
                <w:rFonts w:hint="eastAsia"/>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eastAsia"/>
                <w:highlight w:val="none"/>
                <w:lang w:val="en-US" w:eastAsia="zh-CN"/>
              </w:rPr>
            </w:pPr>
            <w:r>
              <w:rPr>
                <w:rFonts w:hint="eastAsia"/>
                <w:highlight w:val="none"/>
                <w:lang w:val="en-US" w:eastAsia="zh-CN"/>
              </w:rPr>
              <w:t>慰问周边老人</w:t>
            </w:r>
          </w:p>
        </w:tc>
        <w:tc>
          <w:tcPr>
            <w:tcW w:w="2145" w:type="dxa"/>
            <w:shd w:val="clear" w:color="auto" w:fill="auto"/>
          </w:tcPr>
          <w:p>
            <w:pPr>
              <w:widowControl/>
              <w:jc w:val="center"/>
              <w:textAlignment w:val="center"/>
              <w:rPr>
                <w:rFonts w:hint="default"/>
                <w:highlight w:val="none"/>
                <w:lang w:val="en-US" w:eastAsia="zh-CN"/>
              </w:rPr>
            </w:pPr>
            <w:r>
              <w:rPr>
                <w:rFonts w:hint="eastAsia"/>
                <w:highlight w:val="none"/>
                <w:lang w:val="en-US" w:eastAsia="zh-CN"/>
              </w:rPr>
              <w:t>2021</w:t>
            </w:r>
          </w:p>
        </w:tc>
        <w:tc>
          <w:tcPr>
            <w:tcW w:w="2157" w:type="dxa"/>
            <w:shd w:val="clear" w:color="auto" w:fill="auto"/>
          </w:tcPr>
          <w:p>
            <w:pPr>
              <w:widowControl/>
              <w:jc w:val="center"/>
              <w:textAlignment w:val="center"/>
              <w:rPr>
                <w:rFonts w:hint="default"/>
                <w:highlight w:val="none"/>
                <w:lang w:val="en-US" w:eastAsia="zh-CN"/>
              </w:rPr>
            </w:pPr>
            <w:r>
              <w:rPr>
                <w:rFonts w:hint="eastAsia"/>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default" w:cs="Times New Roman" w:asciiTheme="minorEastAsia" w:hAnsiTheme="minorEastAsia" w:eastAsiaTheme="minorEastAsia"/>
                <w:kern w:val="0"/>
                <w:sz w:val="24"/>
                <w:szCs w:val="24"/>
                <w:highlight w:val="none"/>
                <w:lang w:val="en-US" w:eastAsia="zh-CN"/>
              </w:rPr>
            </w:pPr>
            <w:r>
              <w:rPr>
                <w:rFonts w:hint="eastAsia"/>
                <w:highlight w:val="none"/>
                <w:lang w:val="en-US" w:eastAsia="zh-CN"/>
              </w:rPr>
              <w:t>疫情捐款</w:t>
            </w:r>
          </w:p>
        </w:tc>
        <w:tc>
          <w:tcPr>
            <w:tcW w:w="2145" w:type="dxa"/>
            <w:shd w:val="clear" w:color="auto" w:fill="auto"/>
          </w:tcPr>
          <w:p>
            <w:pPr>
              <w:widowControl/>
              <w:jc w:val="center"/>
              <w:textAlignment w:val="center"/>
              <w:rPr>
                <w:rFonts w:cs="Times New Roman" w:asciiTheme="minorEastAsia" w:hAnsiTheme="minorEastAsia"/>
                <w:kern w:val="0"/>
                <w:sz w:val="24"/>
                <w:szCs w:val="24"/>
                <w:highlight w:val="none"/>
              </w:rPr>
            </w:pPr>
            <w:r>
              <w:rPr>
                <w:rFonts w:hint="eastAsia"/>
                <w:highlight w:val="none"/>
              </w:rPr>
              <w:t>2022</w:t>
            </w:r>
          </w:p>
        </w:tc>
        <w:tc>
          <w:tcPr>
            <w:tcW w:w="2157" w:type="dxa"/>
            <w:shd w:val="clear" w:color="auto" w:fill="auto"/>
          </w:tcPr>
          <w:p>
            <w:pPr>
              <w:widowControl/>
              <w:jc w:val="center"/>
              <w:textAlignment w:val="center"/>
              <w:rPr>
                <w:rFonts w:hint="eastAsia" w:cs="Times New Roman" w:asciiTheme="minorEastAsia" w:hAnsiTheme="minorEastAsia" w:eastAsiaTheme="minorEastAsia"/>
                <w:kern w:val="0"/>
                <w:sz w:val="24"/>
                <w:szCs w:val="24"/>
                <w:highlight w:val="none"/>
                <w:lang w:val="en-US" w:eastAsia="zh-CN"/>
              </w:rPr>
            </w:pPr>
            <w:r>
              <w:rPr>
                <w:rFonts w:hint="eastAsia"/>
                <w:highlight w:val="none"/>
                <w:lang w:val="en-US" w:eastAsia="zh-CN"/>
              </w:rPr>
              <w:t>1</w:t>
            </w:r>
            <w:r>
              <w:rPr>
                <w:highlight w:val="none"/>
              </w:rPr>
              <w:t>5000</w:t>
            </w:r>
            <w:r>
              <w:rPr>
                <w:rFonts w:hint="eastAsia"/>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慈善总会公益捐赠</w:t>
            </w:r>
          </w:p>
        </w:tc>
        <w:tc>
          <w:tcPr>
            <w:tcW w:w="2145"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2022</w:t>
            </w:r>
          </w:p>
        </w:tc>
        <w:tc>
          <w:tcPr>
            <w:tcW w:w="2157" w:type="dxa"/>
            <w:shd w:val="clear" w:color="auto" w:fill="auto"/>
          </w:tcPr>
          <w:p>
            <w:pPr>
              <w:widowControl/>
              <w:jc w:val="center"/>
              <w:textAlignment w:val="center"/>
              <w:rPr>
                <w:rFonts w:hint="default" w:eastAsiaTheme="minorEastAsia"/>
                <w:highlight w:val="none"/>
                <w:lang w:val="en-US" w:eastAsia="zh-CN"/>
              </w:rPr>
            </w:pPr>
            <w:r>
              <w:rPr>
                <w:rFonts w:hint="eastAsia"/>
                <w:highlight w:val="none"/>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vAlign w:val="top"/>
          </w:tcPr>
          <w:p>
            <w:pPr>
              <w:widowControl/>
              <w:jc w:val="center"/>
              <w:textAlignment w:val="center"/>
              <w:rPr>
                <w:rFonts w:hint="eastAsia"/>
                <w:highlight w:val="none"/>
                <w:lang w:val="en-US" w:eastAsia="zh-CN"/>
              </w:rPr>
            </w:pPr>
            <w:r>
              <w:rPr>
                <w:rFonts w:hint="eastAsia"/>
                <w:highlight w:val="none"/>
                <w:lang w:val="en-US" w:eastAsia="zh-CN"/>
              </w:rPr>
              <w:t>慰问周边老人</w:t>
            </w:r>
          </w:p>
        </w:tc>
        <w:tc>
          <w:tcPr>
            <w:tcW w:w="2145" w:type="dxa"/>
            <w:shd w:val="clear" w:color="auto" w:fill="auto"/>
            <w:vAlign w:val="top"/>
          </w:tcPr>
          <w:p>
            <w:pPr>
              <w:widowControl/>
              <w:jc w:val="center"/>
              <w:textAlignment w:val="center"/>
              <w:rPr>
                <w:rFonts w:hint="eastAsia"/>
                <w:highlight w:val="none"/>
                <w:lang w:val="en-US" w:eastAsia="zh-CN"/>
              </w:rPr>
            </w:pPr>
            <w:r>
              <w:rPr>
                <w:rFonts w:hint="eastAsia"/>
                <w:highlight w:val="none"/>
                <w:lang w:val="en-US" w:eastAsia="zh-CN"/>
              </w:rPr>
              <w:t>2022</w:t>
            </w:r>
          </w:p>
        </w:tc>
        <w:tc>
          <w:tcPr>
            <w:tcW w:w="2157" w:type="dxa"/>
            <w:shd w:val="clear" w:color="auto" w:fill="auto"/>
            <w:vAlign w:val="top"/>
          </w:tcPr>
          <w:p>
            <w:pPr>
              <w:widowControl/>
              <w:jc w:val="center"/>
              <w:textAlignment w:val="center"/>
              <w:rPr>
                <w:rFonts w:hint="eastAsia"/>
                <w:highlight w:val="none"/>
                <w:lang w:val="en-US" w:eastAsia="zh-CN"/>
              </w:rPr>
            </w:pPr>
            <w:r>
              <w:rPr>
                <w:rFonts w:hint="eastAsia"/>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848" w:type="dxa"/>
            <w:shd w:val="clear" w:color="auto" w:fill="auto"/>
            <w:vAlign w:val="top"/>
          </w:tcPr>
          <w:p>
            <w:pPr>
              <w:widowControl/>
              <w:jc w:val="center"/>
              <w:textAlignment w:val="center"/>
              <w:rPr>
                <w:rFonts w:hint="eastAsia"/>
                <w:highlight w:val="none"/>
                <w:lang w:val="en-US" w:eastAsia="zh-CN"/>
              </w:rPr>
            </w:pPr>
            <w:r>
              <w:rPr>
                <w:rFonts w:hint="eastAsia"/>
                <w:highlight w:val="none"/>
                <w:lang w:val="en-US" w:eastAsia="zh-CN"/>
              </w:rPr>
              <w:t>贫困学生结对帮扶</w:t>
            </w:r>
          </w:p>
        </w:tc>
        <w:tc>
          <w:tcPr>
            <w:tcW w:w="2145" w:type="dxa"/>
            <w:shd w:val="clear" w:color="auto" w:fill="auto"/>
            <w:vAlign w:val="top"/>
          </w:tcPr>
          <w:p>
            <w:pPr>
              <w:widowControl/>
              <w:jc w:val="center"/>
              <w:textAlignment w:val="center"/>
              <w:rPr>
                <w:rFonts w:hint="default"/>
                <w:highlight w:val="none"/>
                <w:lang w:val="en-US" w:eastAsia="zh-CN"/>
              </w:rPr>
            </w:pPr>
            <w:r>
              <w:rPr>
                <w:rFonts w:hint="eastAsia"/>
                <w:highlight w:val="none"/>
                <w:lang w:val="en-US" w:eastAsia="zh-CN"/>
              </w:rPr>
              <w:t>2023</w:t>
            </w:r>
          </w:p>
        </w:tc>
        <w:tc>
          <w:tcPr>
            <w:tcW w:w="2157" w:type="dxa"/>
            <w:shd w:val="clear" w:color="auto" w:fill="auto"/>
            <w:vAlign w:val="top"/>
          </w:tcPr>
          <w:p>
            <w:pPr>
              <w:widowControl/>
              <w:jc w:val="center"/>
              <w:textAlignment w:val="center"/>
              <w:rPr>
                <w:rFonts w:hint="default"/>
                <w:highlight w:val="none"/>
                <w:lang w:val="en-US" w:eastAsia="zh-CN"/>
              </w:rPr>
            </w:pPr>
            <w:r>
              <w:rPr>
                <w:rFonts w:hint="eastAsia"/>
                <w:highlight w:val="none"/>
                <w:lang w:val="en-US" w:eastAsia="zh-CN"/>
              </w:rPr>
              <w:t>60000</w:t>
            </w:r>
          </w:p>
        </w:tc>
      </w:tr>
    </w:tbl>
    <w:p>
      <w:pPr>
        <w:spacing w:line="360" w:lineRule="auto"/>
        <w:ind w:firstLine="480" w:firstLineChars="200"/>
        <w:rPr>
          <w:rFonts w:cs="Times New Roman" w:asciiTheme="minorEastAsia" w:hAnsiTheme="minorEastAsia"/>
          <w:kern w:val="0"/>
          <w:sz w:val="24"/>
          <w:szCs w:val="24"/>
        </w:rPr>
      </w:pPr>
      <w:bookmarkStart w:id="40" w:name="_GoBack"/>
      <w:bookmarkEnd w:id="4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drawing>
        <wp:anchor distT="0" distB="0" distL="114300" distR="114300" simplePos="0" relativeHeight="251659264" behindDoc="0" locked="0" layoutInCell="1" allowOverlap="1">
          <wp:simplePos x="0" y="0"/>
          <wp:positionH relativeFrom="column">
            <wp:posOffset>9525</wp:posOffset>
          </wp:positionH>
          <wp:positionV relativeFrom="paragraph">
            <wp:posOffset>-511810</wp:posOffset>
          </wp:positionV>
          <wp:extent cx="2279015" cy="647700"/>
          <wp:effectExtent l="0" t="0" r="6985"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7901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Zjc4MGQ1ODJmNzEzNzUyZjRiZWM3ZWVjYjRhYmIifQ=="/>
  </w:docVars>
  <w:rsids>
    <w:rsidRoot w:val="00CD5536"/>
    <w:rsid w:val="000001E5"/>
    <w:rsid w:val="00004397"/>
    <w:rsid w:val="00036A7A"/>
    <w:rsid w:val="000437A1"/>
    <w:rsid w:val="000519DC"/>
    <w:rsid w:val="00061BED"/>
    <w:rsid w:val="00066D0C"/>
    <w:rsid w:val="00074BC1"/>
    <w:rsid w:val="00093D9A"/>
    <w:rsid w:val="000A795F"/>
    <w:rsid w:val="000B28B4"/>
    <w:rsid w:val="000C3B69"/>
    <w:rsid w:val="000F2948"/>
    <w:rsid w:val="001019A7"/>
    <w:rsid w:val="00116ECF"/>
    <w:rsid w:val="00131595"/>
    <w:rsid w:val="00131935"/>
    <w:rsid w:val="001420F3"/>
    <w:rsid w:val="00160BF9"/>
    <w:rsid w:val="00165DCC"/>
    <w:rsid w:val="00175458"/>
    <w:rsid w:val="00186145"/>
    <w:rsid w:val="00192A5B"/>
    <w:rsid w:val="001A32F1"/>
    <w:rsid w:val="001B02FB"/>
    <w:rsid w:val="001B196B"/>
    <w:rsid w:val="001B327D"/>
    <w:rsid w:val="001F2219"/>
    <w:rsid w:val="001F317C"/>
    <w:rsid w:val="0020185A"/>
    <w:rsid w:val="00205BD5"/>
    <w:rsid w:val="00213334"/>
    <w:rsid w:val="00225468"/>
    <w:rsid w:val="00233AAC"/>
    <w:rsid w:val="00234E6C"/>
    <w:rsid w:val="00241399"/>
    <w:rsid w:val="0024604C"/>
    <w:rsid w:val="0026728E"/>
    <w:rsid w:val="00271BCA"/>
    <w:rsid w:val="002827AB"/>
    <w:rsid w:val="002B6B4E"/>
    <w:rsid w:val="002B7810"/>
    <w:rsid w:val="002E6A2A"/>
    <w:rsid w:val="003206A1"/>
    <w:rsid w:val="003209F3"/>
    <w:rsid w:val="0032148A"/>
    <w:rsid w:val="00330422"/>
    <w:rsid w:val="00332A23"/>
    <w:rsid w:val="00351384"/>
    <w:rsid w:val="003573D2"/>
    <w:rsid w:val="00372A7B"/>
    <w:rsid w:val="00377118"/>
    <w:rsid w:val="00385FB5"/>
    <w:rsid w:val="00386BDB"/>
    <w:rsid w:val="00390B1F"/>
    <w:rsid w:val="00397853"/>
    <w:rsid w:val="003A71A7"/>
    <w:rsid w:val="003C2E66"/>
    <w:rsid w:val="003C2FB7"/>
    <w:rsid w:val="003C7121"/>
    <w:rsid w:val="003D1D51"/>
    <w:rsid w:val="003F0C1A"/>
    <w:rsid w:val="003F5A4E"/>
    <w:rsid w:val="004313BF"/>
    <w:rsid w:val="004432F6"/>
    <w:rsid w:val="00463CC3"/>
    <w:rsid w:val="0046415E"/>
    <w:rsid w:val="00470384"/>
    <w:rsid w:val="004839EA"/>
    <w:rsid w:val="00485095"/>
    <w:rsid w:val="004978CF"/>
    <w:rsid w:val="00497E69"/>
    <w:rsid w:val="004A06E6"/>
    <w:rsid w:val="004A2F45"/>
    <w:rsid w:val="004A33D9"/>
    <w:rsid w:val="004A48E7"/>
    <w:rsid w:val="004B21B4"/>
    <w:rsid w:val="00500BC0"/>
    <w:rsid w:val="00513B35"/>
    <w:rsid w:val="005177C0"/>
    <w:rsid w:val="00520B5A"/>
    <w:rsid w:val="00522730"/>
    <w:rsid w:val="00554B93"/>
    <w:rsid w:val="00555AC2"/>
    <w:rsid w:val="005731F9"/>
    <w:rsid w:val="005A5A6F"/>
    <w:rsid w:val="005C7BEC"/>
    <w:rsid w:val="005E4FF8"/>
    <w:rsid w:val="005E6966"/>
    <w:rsid w:val="00603844"/>
    <w:rsid w:val="00607872"/>
    <w:rsid w:val="00634892"/>
    <w:rsid w:val="00637B07"/>
    <w:rsid w:val="00662C24"/>
    <w:rsid w:val="006644E1"/>
    <w:rsid w:val="00667FBF"/>
    <w:rsid w:val="00671E41"/>
    <w:rsid w:val="0067240D"/>
    <w:rsid w:val="00686622"/>
    <w:rsid w:val="00693DCA"/>
    <w:rsid w:val="00695157"/>
    <w:rsid w:val="006976A4"/>
    <w:rsid w:val="006C19F4"/>
    <w:rsid w:val="006D6DA2"/>
    <w:rsid w:val="006F0218"/>
    <w:rsid w:val="006F6F50"/>
    <w:rsid w:val="00703B80"/>
    <w:rsid w:val="00714A72"/>
    <w:rsid w:val="00714C31"/>
    <w:rsid w:val="00716577"/>
    <w:rsid w:val="00726209"/>
    <w:rsid w:val="00730453"/>
    <w:rsid w:val="00730A7E"/>
    <w:rsid w:val="00736DA1"/>
    <w:rsid w:val="0074218E"/>
    <w:rsid w:val="00767175"/>
    <w:rsid w:val="00773139"/>
    <w:rsid w:val="0078520C"/>
    <w:rsid w:val="00793FD8"/>
    <w:rsid w:val="007941C9"/>
    <w:rsid w:val="007949D8"/>
    <w:rsid w:val="007B023F"/>
    <w:rsid w:val="007B1A38"/>
    <w:rsid w:val="007C2C6E"/>
    <w:rsid w:val="007D3629"/>
    <w:rsid w:val="007D5576"/>
    <w:rsid w:val="007F6C94"/>
    <w:rsid w:val="0081344C"/>
    <w:rsid w:val="00821886"/>
    <w:rsid w:val="00824AF2"/>
    <w:rsid w:val="00880AAF"/>
    <w:rsid w:val="008840F8"/>
    <w:rsid w:val="008B0FC2"/>
    <w:rsid w:val="008B2A22"/>
    <w:rsid w:val="008B7331"/>
    <w:rsid w:val="008C5277"/>
    <w:rsid w:val="008D6DB7"/>
    <w:rsid w:val="008E1E6C"/>
    <w:rsid w:val="008E58E6"/>
    <w:rsid w:val="008E7DC2"/>
    <w:rsid w:val="008F527C"/>
    <w:rsid w:val="00902A23"/>
    <w:rsid w:val="009112BB"/>
    <w:rsid w:val="009159C5"/>
    <w:rsid w:val="00930314"/>
    <w:rsid w:val="009445A8"/>
    <w:rsid w:val="009451F3"/>
    <w:rsid w:val="0094693B"/>
    <w:rsid w:val="00951B16"/>
    <w:rsid w:val="00966680"/>
    <w:rsid w:val="00967D4A"/>
    <w:rsid w:val="009811C7"/>
    <w:rsid w:val="00992744"/>
    <w:rsid w:val="00993141"/>
    <w:rsid w:val="00995750"/>
    <w:rsid w:val="009A0384"/>
    <w:rsid w:val="009B03B7"/>
    <w:rsid w:val="009B3814"/>
    <w:rsid w:val="009B768C"/>
    <w:rsid w:val="009C69CA"/>
    <w:rsid w:val="009F0B5B"/>
    <w:rsid w:val="009F5B39"/>
    <w:rsid w:val="009F7CA5"/>
    <w:rsid w:val="009F7FA0"/>
    <w:rsid w:val="00A13169"/>
    <w:rsid w:val="00A30274"/>
    <w:rsid w:val="00A31629"/>
    <w:rsid w:val="00A322BA"/>
    <w:rsid w:val="00A34090"/>
    <w:rsid w:val="00A35D62"/>
    <w:rsid w:val="00A41920"/>
    <w:rsid w:val="00A56B47"/>
    <w:rsid w:val="00A8779C"/>
    <w:rsid w:val="00AA448C"/>
    <w:rsid w:val="00AB1974"/>
    <w:rsid w:val="00AD39C9"/>
    <w:rsid w:val="00AE5531"/>
    <w:rsid w:val="00B1748F"/>
    <w:rsid w:val="00B17748"/>
    <w:rsid w:val="00B355F3"/>
    <w:rsid w:val="00B41AA4"/>
    <w:rsid w:val="00B427E6"/>
    <w:rsid w:val="00B4338E"/>
    <w:rsid w:val="00B575F2"/>
    <w:rsid w:val="00B65A19"/>
    <w:rsid w:val="00B7013E"/>
    <w:rsid w:val="00B71BB6"/>
    <w:rsid w:val="00B754F0"/>
    <w:rsid w:val="00B81A74"/>
    <w:rsid w:val="00B9573E"/>
    <w:rsid w:val="00BA0555"/>
    <w:rsid w:val="00BA5798"/>
    <w:rsid w:val="00BB2768"/>
    <w:rsid w:val="00BB6438"/>
    <w:rsid w:val="00BD23D5"/>
    <w:rsid w:val="00BE0ABD"/>
    <w:rsid w:val="00BF1E02"/>
    <w:rsid w:val="00BF63C4"/>
    <w:rsid w:val="00C0783F"/>
    <w:rsid w:val="00C115CE"/>
    <w:rsid w:val="00C11EF1"/>
    <w:rsid w:val="00C31A46"/>
    <w:rsid w:val="00C50E39"/>
    <w:rsid w:val="00C5360B"/>
    <w:rsid w:val="00C60A8D"/>
    <w:rsid w:val="00C62CC5"/>
    <w:rsid w:val="00C72D50"/>
    <w:rsid w:val="00C75F8D"/>
    <w:rsid w:val="00C76CCB"/>
    <w:rsid w:val="00C93C36"/>
    <w:rsid w:val="00CC6321"/>
    <w:rsid w:val="00CC6FE8"/>
    <w:rsid w:val="00CD5536"/>
    <w:rsid w:val="00CD5A41"/>
    <w:rsid w:val="00CD6E6A"/>
    <w:rsid w:val="00CE1D3F"/>
    <w:rsid w:val="00CE52C8"/>
    <w:rsid w:val="00CE73FD"/>
    <w:rsid w:val="00CF5AE9"/>
    <w:rsid w:val="00D0108B"/>
    <w:rsid w:val="00D43FE8"/>
    <w:rsid w:val="00D56F1C"/>
    <w:rsid w:val="00D76656"/>
    <w:rsid w:val="00D77F15"/>
    <w:rsid w:val="00D82A94"/>
    <w:rsid w:val="00D9534E"/>
    <w:rsid w:val="00D958DE"/>
    <w:rsid w:val="00DA3FF1"/>
    <w:rsid w:val="00DB20BC"/>
    <w:rsid w:val="00DC004C"/>
    <w:rsid w:val="00DE2DFB"/>
    <w:rsid w:val="00DE4754"/>
    <w:rsid w:val="00DE740A"/>
    <w:rsid w:val="00DF2F12"/>
    <w:rsid w:val="00E1560D"/>
    <w:rsid w:val="00E23FAD"/>
    <w:rsid w:val="00E52188"/>
    <w:rsid w:val="00E560FF"/>
    <w:rsid w:val="00E604FE"/>
    <w:rsid w:val="00E6678F"/>
    <w:rsid w:val="00EA43FF"/>
    <w:rsid w:val="00EC5685"/>
    <w:rsid w:val="00ED47AF"/>
    <w:rsid w:val="00EE5B7C"/>
    <w:rsid w:val="00EF7FEC"/>
    <w:rsid w:val="00F02061"/>
    <w:rsid w:val="00F14681"/>
    <w:rsid w:val="00F5032E"/>
    <w:rsid w:val="00F641B3"/>
    <w:rsid w:val="00F72C6E"/>
    <w:rsid w:val="00F73F58"/>
    <w:rsid w:val="00F93977"/>
    <w:rsid w:val="00FA38C3"/>
    <w:rsid w:val="00FC3183"/>
    <w:rsid w:val="01915353"/>
    <w:rsid w:val="03AF34A2"/>
    <w:rsid w:val="05205355"/>
    <w:rsid w:val="060374E1"/>
    <w:rsid w:val="099C3C23"/>
    <w:rsid w:val="0E92577A"/>
    <w:rsid w:val="14972700"/>
    <w:rsid w:val="15E4163C"/>
    <w:rsid w:val="1E0E710D"/>
    <w:rsid w:val="1FE32AA5"/>
    <w:rsid w:val="223775AC"/>
    <w:rsid w:val="23DB1D7E"/>
    <w:rsid w:val="260B328E"/>
    <w:rsid w:val="277B0325"/>
    <w:rsid w:val="28C07367"/>
    <w:rsid w:val="2E5A64A6"/>
    <w:rsid w:val="2F91426B"/>
    <w:rsid w:val="31726B84"/>
    <w:rsid w:val="48D811F5"/>
    <w:rsid w:val="4E5A19FE"/>
    <w:rsid w:val="4E6363ED"/>
    <w:rsid w:val="4EAD3C28"/>
    <w:rsid w:val="52631F37"/>
    <w:rsid w:val="5965519C"/>
    <w:rsid w:val="5F7610AD"/>
    <w:rsid w:val="6428097A"/>
    <w:rsid w:val="69D13148"/>
    <w:rsid w:val="6C45775B"/>
    <w:rsid w:val="6FA33B19"/>
    <w:rsid w:val="732F36FA"/>
    <w:rsid w:val="75332B1D"/>
    <w:rsid w:val="783E7254"/>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autoRedefine/>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9"/>
    <w:autoRedefine/>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0"/>
    <w:autoRedefine/>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1"/>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2"/>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0">
    <w:name w:val="Default Paragraph Font"/>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9">
    <w:name w:val="toc 7"/>
    <w:basedOn w:val="1"/>
    <w:next w:val="1"/>
    <w:autoRedefine/>
    <w:unhideWhenUsed/>
    <w:qFormat/>
    <w:uiPriority w:val="39"/>
    <w:pPr>
      <w:ind w:left="2520" w:leftChars="1200"/>
    </w:pPr>
  </w:style>
  <w:style w:type="paragraph" w:styleId="10">
    <w:name w:val="Note Heading"/>
    <w:basedOn w:val="1"/>
    <w:next w:val="1"/>
    <w:link w:val="71"/>
    <w:autoRedefine/>
    <w:qFormat/>
    <w:uiPriority w:val="99"/>
    <w:pPr>
      <w:jc w:val="center"/>
    </w:pPr>
    <w:rPr>
      <w:rFonts w:ascii="Times New Roman" w:hAnsi="Times New Roman" w:eastAsia="宋体" w:cs="Times New Roman"/>
      <w:szCs w:val="21"/>
    </w:rPr>
  </w:style>
  <w:style w:type="paragraph" w:styleId="11">
    <w:name w:val="Normal Indent"/>
    <w:basedOn w:val="1"/>
    <w:autoRedefine/>
    <w:qFormat/>
    <w:uiPriority w:val="0"/>
    <w:pPr>
      <w:ind w:firstLine="420" w:firstLineChars="200"/>
    </w:pPr>
    <w:rPr>
      <w:rFonts w:ascii="Times New Roman" w:hAnsi="Times New Roman" w:eastAsia="宋体" w:cs="Times New Roman"/>
      <w:szCs w:val="21"/>
    </w:rPr>
  </w:style>
  <w:style w:type="paragraph" w:styleId="12">
    <w:name w:val="caption"/>
    <w:basedOn w:val="1"/>
    <w:next w:val="1"/>
    <w:autoRedefine/>
    <w:unhideWhenUsed/>
    <w:qFormat/>
    <w:uiPriority w:val="35"/>
    <w:rPr>
      <w:rFonts w:eastAsia="黑体" w:asciiTheme="majorHAnsi" w:hAnsiTheme="majorHAnsi" w:cstheme="majorBidi"/>
      <w:sz w:val="20"/>
      <w:szCs w:val="20"/>
    </w:rPr>
  </w:style>
  <w:style w:type="paragraph" w:styleId="13">
    <w:name w:val="Document Map"/>
    <w:basedOn w:val="1"/>
    <w:link w:val="76"/>
    <w:autoRedefine/>
    <w:unhideWhenUsed/>
    <w:qFormat/>
    <w:uiPriority w:val="99"/>
    <w:rPr>
      <w:rFonts w:ascii="宋体" w:hAnsi="Calibri" w:eastAsia="宋体" w:cs="Times New Roman"/>
      <w:sz w:val="18"/>
      <w:szCs w:val="18"/>
    </w:rPr>
  </w:style>
  <w:style w:type="paragraph" w:styleId="14">
    <w:name w:val="toa heading"/>
    <w:basedOn w:val="1"/>
    <w:next w:val="1"/>
    <w:autoRedefine/>
    <w:semiHidden/>
    <w:qFormat/>
    <w:uiPriority w:val="0"/>
    <w:pPr>
      <w:spacing w:before="120"/>
    </w:pPr>
    <w:rPr>
      <w:rFonts w:ascii="Arial" w:hAnsi="Arial" w:eastAsia="宋体" w:cs="Times New Roman"/>
      <w:b/>
      <w:bCs/>
      <w:szCs w:val="21"/>
    </w:rPr>
  </w:style>
  <w:style w:type="paragraph" w:styleId="15">
    <w:name w:val="annotation text"/>
    <w:basedOn w:val="1"/>
    <w:link w:val="52"/>
    <w:unhideWhenUsed/>
    <w:qFormat/>
    <w:uiPriority w:val="99"/>
    <w:pPr>
      <w:jc w:val="left"/>
    </w:pPr>
  </w:style>
  <w:style w:type="paragraph" w:styleId="16">
    <w:name w:val="Salutation"/>
    <w:basedOn w:val="1"/>
    <w:next w:val="1"/>
    <w:link w:val="63"/>
    <w:qFormat/>
    <w:uiPriority w:val="99"/>
    <w:rPr>
      <w:rFonts w:ascii="Times New Roman" w:hAnsi="Times New Roman" w:eastAsia="宋体" w:cs="Times New Roman"/>
      <w:szCs w:val="21"/>
    </w:rPr>
  </w:style>
  <w:style w:type="paragraph" w:styleId="17">
    <w:name w:val="List Bullet 3"/>
    <w:basedOn w:val="1"/>
    <w:autoRedefine/>
    <w:qFormat/>
    <w:uiPriority w:val="0"/>
    <w:pPr>
      <w:tabs>
        <w:tab w:val="left" w:pos="1200"/>
      </w:tabs>
    </w:pPr>
    <w:rPr>
      <w:rFonts w:ascii="Times New Roman" w:hAnsi="Times New Roman" w:eastAsia="宋体" w:cs="Times New Roman"/>
      <w:szCs w:val="21"/>
    </w:rPr>
  </w:style>
  <w:style w:type="paragraph" w:styleId="18">
    <w:name w:val="Body Text"/>
    <w:basedOn w:val="1"/>
    <w:link w:val="68"/>
    <w:autoRedefine/>
    <w:qFormat/>
    <w:uiPriority w:val="99"/>
    <w:pPr>
      <w:spacing w:after="120"/>
    </w:pPr>
    <w:rPr>
      <w:rFonts w:ascii="Times New Roman" w:hAnsi="Times New Roman" w:eastAsia="宋体" w:cs="Times New Roman"/>
      <w:szCs w:val="21"/>
    </w:rPr>
  </w:style>
  <w:style w:type="paragraph" w:styleId="19">
    <w:name w:val="Body Text Indent"/>
    <w:basedOn w:val="1"/>
    <w:autoRedefine/>
    <w:qFormat/>
    <w:uiPriority w:val="0"/>
    <w:pPr>
      <w:spacing w:line="480" w:lineRule="exact"/>
      <w:ind w:firstLine="480" w:firstLineChars="200"/>
    </w:pPr>
    <w:rPr>
      <w:sz w:val="24"/>
    </w:rPr>
  </w:style>
  <w:style w:type="paragraph" w:styleId="20">
    <w:name w:val="toc 5"/>
    <w:basedOn w:val="1"/>
    <w:next w:val="1"/>
    <w:autoRedefine/>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6"/>
    <w:autoRedefine/>
    <w:qFormat/>
    <w:uiPriority w:val="0"/>
    <w:rPr>
      <w:rFonts w:ascii="宋体" w:hAnsi="Courier New" w:eastAsia="宋体" w:cs="Times New Roman"/>
      <w:szCs w:val="20"/>
    </w:rPr>
  </w:style>
  <w:style w:type="paragraph" w:styleId="23">
    <w:name w:val="toc 8"/>
    <w:basedOn w:val="1"/>
    <w:next w:val="1"/>
    <w:autoRedefine/>
    <w:unhideWhenUsed/>
    <w:qFormat/>
    <w:uiPriority w:val="39"/>
    <w:pPr>
      <w:ind w:left="2940" w:leftChars="1400"/>
    </w:pPr>
  </w:style>
  <w:style w:type="paragraph" w:styleId="24">
    <w:name w:val="Date"/>
    <w:basedOn w:val="1"/>
    <w:next w:val="1"/>
    <w:link w:val="70"/>
    <w:autoRedefine/>
    <w:qFormat/>
    <w:uiPriority w:val="99"/>
    <w:pPr>
      <w:ind w:left="100" w:leftChars="2500"/>
    </w:pPr>
    <w:rPr>
      <w:rFonts w:ascii="Times New Roman" w:hAnsi="Times New Roman" w:eastAsia="宋体" w:cs="Times New Roman"/>
      <w:szCs w:val="21"/>
    </w:rPr>
  </w:style>
  <w:style w:type="paragraph" w:styleId="25">
    <w:name w:val="endnote text"/>
    <w:basedOn w:val="1"/>
    <w:link w:val="80"/>
    <w:autoRedefine/>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4"/>
    <w:unhideWhenUsed/>
    <w:qFormat/>
    <w:uiPriority w:val="99"/>
    <w:rPr>
      <w:sz w:val="18"/>
      <w:szCs w:val="18"/>
    </w:rPr>
  </w:style>
  <w:style w:type="paragraph" w:styleId="27">
    <w:name w:val="footer"/>
    <w:basedOn w:val="1"/>
    <w:link w:val="46"/>
    <w:autoRedefine/>
    <w:unhideWhenUsed/>
    <w:qFormat/>
    <w:uiPriority w:val="99"/>
    <w:pPr>
      <w:tabs>
        <w:tab w:val="center" w:pos="4153"/>
        <w:tab w:val="right" w:pos="8306"/>
      </w:tabs>
      <w:snapToGrid w:val="0"/>
      <w:jc w:val="left"/>
    </w:pPr>
    <w:rPr>
      <w:sz w:val="18"/>
      <w:szCs w:val="18"/>
    </w:rPr>
  </w:style>
  <w:style w:type="paragraph" w:styleId="28">
    <w:name w:val="header"/>
    <w:basedOn w:val="1"/>
    <w:link w:val="4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autoRedefine/>
    <w:unhideWhenUsed/>
    <w:qFormat/>
    <w:uiPriority w:val="39"/>
    <w:pPr>
      <w:ind w:left="2100" w:leftChars="1000"/>
    </w:pPr>
  </w:style>
  <w:style w:type="paragraph" w:styleId="32">
    <w:name w:val="toc 2"/>
    <w:basedOn w:val="1"/>
    <w:next w:val="1"/>
    <w:autoRedefine/>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8"/>
    <w:autoRedefine/>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3"/>
    <w:autoRedefine/>
    <w:unhideWhenUsed/>
    <w:qFormat/>
    <w:uiPriority w:val="99"/>
    <w:rPr>
      <w:b/>
      <w:bCs/>
    </w:rPr>
  </w:style>
  <w:style w:type="table" w:styleId="39">
    <w:name w:val="Table Grid"/>
    <w:basedOn w:val="3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endnote reference"/>
    <w:basedOn w:val="40"/>
    <w:autoRedefine/>
    <w:unhideWhenUsed/>
    <w:qFormat/>
    <w:uiPriority w:val="99"/>
    <w:rPr>
      <w:vertAlign w:val="superscript"/>
    </w:rPr>
  </w:style>
  <w:style w:type="character" w:styleId="42">
    <w:name w:val="page number"/>
    <w:basedOn w:val="40"/>
    <w:autoRedefine/>
    <w:qFormat/>
    <w:uiPriority w:val="0"/>
  </w:style>
  <w:style w:type="character" w:styleId="43">
    <w:name w:val="Hyperlink"/>
    <w:basedOn w:val="40"/>
    <w:autoRedefine/>
    <w:unhideWhenUsed/>
    <w:qFormat/>
    <w:uiPriority w:val="99"/>
    <w:rPr>
      <w:color w:val="0563C1" w:themeColor="hyperlink"/>
      <w:u w:val="single"/>
      <w14:textFill>
        <w14:solidFill>
          <w14:schemeClr w14:val="hlink"/>
        </w14:solidFill>
      </w14:textFill>
    </w:rPr>
  </w:style>
  <w:style w:type="character" w:styleId="44">
    <w:name w:val="annotation reference"/>
    <w:basedOn w:val="40"/>
    <w:autoRedefine/>
    <w:unhideWhenUsed/>
    <w:qFormat/>
    <w:uiPriority w:val="0"/>
    <w:rPr>
      <w:sz w:val="21"/>
      <w:szCs w:val="21"/>
    </w:rPr>
  </w:style>
  <w:style w:type="character" w:customStyle="1" w:styleId="45">
    <w:name w:val="页眉 字符"/>
    <w:basedOn w:val="40"/>
    <w:link w:val="28"/>
    <w:autoRedefine/>
    <w:qFormat/>
    <w:uiPriority w:val="99"/>
    <w:rPr>
      <w:sz w:val="18"/>
      <w:szCs w:val="18"/>
    </w:rPr>
  </w:style>
  <w:style w:type="character" w:customStyle="1" w:styleId="46">
    <w:name w:val="页脚 字符"/>
    <w:basedOn w:val="40"/>
    <w:link w:val="27"/>
    <w:autoRedefine/>
    <w:qFormat/>
    <w:uiPriority w:val="99"/>
    <w:rPr>
      <w:sz w:val="18"/>
      <w:szCs w:val="18"/>
    </w:rPr>
  </w:style>
  <w:style w:type="paragraph" w:customStyle="1" w:styleId="47">
    <w:name w:val="aSTL正文"/>
    <w:basedOn w:val="1"/>
    <w:link w:val="48"/>
    <w:autoRedefine/>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8">
    <w:name w:val="aSTL正文 Char"/>
    <w:link w:val="47"/>
    <w:autoRedefine/>
    <w:qFormat/>
    <w:uiPriority w:val="0"/>
    <w:rPr>
      <w:rFonts w:ascii="Calibri" w:hAnsi="Calibri" w:eastAsia="宋体" w:cs="Times New Roman"/>
      <w:kern w:val="0"/>
      <w:sz w:val="24"/>
      <w:szCs w:val="20"/>
      <w:lang w:val="zh-CN" w:eastAsia="zh-CN"/>
    </w:rPr>
  </w:style>
  <w:style w:type="paragraph" w:customStyle="1" w:styleId="49">
    <w:name w:val="4.1.1.1.1"/>
    <w:basedOn w:val="1"/>
    <w:link w:val="50"/>
    <w:autoRedefine/>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0">
    <w:name w:val="4.1.1.1.1 Char"/>
    <w:link w:val="49"/>
    <w:autoRedefine/>
    <w:qFormat/>
    <w:uiPriority w:val="0"/>
    <w:rPr>
      <w:rFonts w:ascii="宋体" w:hAnsi="宋体" w:eastAsia="宋体" w:cs="Times New Roman"/>
      <w:b/>
      <w:color w:val="000000"/>
      <w:kern w:val="0"/>
      <w:sz w:val="24"/>
      <w:szCs w:val="24"/>
      <w:lang w:val="zh-CN" w:eastAsia="zh-CN"/>
    </w:rPr>
  </w:style>
  <w:style w:type="paragraph" w:styleId="51">
    <w:name w:val="List Paragraph"/>
    <w:basedOn w:val="1"/>
    <w:autoRedefine/>
    <w:qFormat/>
    <w:uiPriority w:val="34"/>
    <w:pPr>
      <w:ind w:firstLine="420" w:firstLineChars="200"/>
    </w:pPr>
    <w:rPr>
      <w:rFonts w:ascii="Calibri" w:hAnsi="Calibri" w:eastAsia="宋体" w:cs="Times New Roman"/>
    </w:rPr>
  </w:style>
  <w:style w:type="character" w:customStyle="1" w:styleId="52">
    <w:name w:val="批注文字 字符"/>
    <w:basedOn w:val="40"/>
    <w:link w:val="15"/>
    <w:autoRedefine/>
    <w:qFormat/>
    <w:uiPriority w:val="99"/>
  </w:style>
  <w:style w:type="character" w:customStyle="1" w:styleId="53">
    <w:name w:val="批注主题 字符"/>
    <w:basedOn w:val="52"/>
    <w:link w:val="37"/>
    <w:autoRedefine/>
    <w:qFormat/>
    <w:uiPriority w:val="99"/>
    <w:rPr>
      <w:b/>
      <w:bCs/>
    </w:rPr>
  </w:style>
  <w:style w:type="character" w:customStyle="1" w:styleId="54">
    <w:name w:val="批注框文本 字符"/>
    <w:basedOn w:val="40"/>
    <w:link w:val="26"/>
    <w:autoRedefine/>
    <w:qFormat/>
    <w:uiPriority w:val="99"/>
    <w:rPr>
      <w:sz w:val="18"/>
      <w:szCs w:val="18"/>
    </w:rPr>
  </w:style>
  <w:style w:type="character" w:customStyle="1" w:styleId="55">
    <w:name w:val="标题 1 字符"/>
    <w:basedOn w:val="40"/>
    <w:link w:val="2"/>
    <w:autoRedefine/>
    <w:qFormat/>
    <w:uiPriority w:val="99"/>
    <w:rPr>
      <w:b/>
      <w:bCs/>
      <w:kern w:val="44"/>
      <w:sz w:val="44"/>
      <w:szCs w:val="44"/>
    </w:rPr>
  </w:style>
  <w:style w:type="paragraph" w:customStyle="1" w:styleId="56">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7">
    <w:name w:val="标题 2 字符"/>
    <w:basedOn w:val="40"/>
    <w:link w:val="3"/>
    <w:autoRedefine/>
    <w:qFormat/>
    <w:uiPriority w:val="0"/>
    <w:rPr>
      <w:rFonts w:asciiTheme="majorHAnsi" w:hAnsiTheme="majorHAnsi" w:eastAsiaTheme="majorEastAsia" w:cstheme="majorBidi"/>
      <w:b/>
      <w:bCs/>
      <w:sz w:val="32"/>
      <w:szCs w:val="32"/>
    </w:rPr>
  </w:style>
  <w:style w:type="character" w:customStyle="1" w:styleId="58">
    <w:name w:val="标题 3 字符"/>
    <w:basedOn w:val="40"/>
    <w:link w:val="4"/>
    <w:autoRedefine/>
    <w:qFormat/>
    <w:uiPriority w:val="9"/>
    <w:rPr>
      <w:rFonts w:ascii="Calibri" w:hAnsi="Calibri" w:eastAsia="宋体" w:cs="Times New Roman"/>
      <w:b/>
      <w:bCs/>
      <w:szCs w:val="32"/>
    </w:rPr>
  </w:style>
  <w:style w:type="character" w:customStyle="1" w:styleId="59">
    <w:name w:val="标题 4 字符"/>
    <w:basedOn w:val="40"/>
    <w:link w:val="5"/>
    <w:autoRedefine/>
    <w:qFormat/>
    <w:uiPriority w:val="9"/>
    <w:rPr>
      <w:rFonts w:ascii="Cambria" w:hAnsi="Cambria" w:eastAsia="宋体" w:cs="Times New Roman"/>
      <w:b/>
      <w:bCs/>
      <w:szCs w:val="28"/>
    </w:rPr>
  </w:style>
  <w:style w:type="character" w:customStyle="1" w:styleId="60">
    <w:name w:val="标题 5 字符"/>
    <w:basedOn w:val="40"/>
    <w:link w:val="6"/>
    <w:autoRedefine/>
    <w:qFormat/>
    <w:uiPriority w:val="9"/>
    <w:rPr>
      <w:rFonts w:ascii="Calibri" w:hAnsi="Calibri" w:eastAsia="宋体" w:cs="Times New Roman"/>
      <w:b/>
      <w:bCs/>
      <w:szCs w:val="28"/>
    </w:rPr>
  </w:style>
  <w:style w:type="character" w:customStyle="1" w:styleId="61">
    <w:name w:val="标题 6 字符"/>
    <w:basedOn w:val="40"/>
    <w:link w:val="7"/>
    <w:autoRedefine/>
    <w:qFormat/>
    <w:uiPriority w:val="9"/>
    <w:rPr>
      <w:rFonts w:eastAsia="宋体" w:asciiTheme="majorHAnsi" w:hAnsiTheme="majorHAnsi" w:cstheme="majorBidi"/>
      <w:b/>
      <w:bCs/>
      <w:kern w:val="0"/>
      <w:szCs w:val="24"/>
    </w:rPr>
  </w:style>
  <w:style w:type="character" w:customStyle="1" w:styleId="62">
    <w:name w:val="标题 7 字符"/>
    <w:basedOn w:val="40"/>
    <w:link w:val="8"/>
    <w:autoRedefine/>
    <w:qFormat/>
    <w:uiPriority w:val="9"/>
    <w:rPr>
      <w:rFonts w:ascii="宋体" w:hAnsi="宋体" w:eastAsia="宋体" w:cs="宋体"/>
      <w:b/>
      <w:bCs/>
      <w:kern w:val="0"/>
      <w:sz w:val="24"/>
      <w:szCs w:val="24"/>
    </w:rPr>
  </w:style>
  <w:style w:type="character" w:customStyle="1" w:styleId="63">
    <w:name w:val="称呼 字符"/>
    <w:basedOn w:val="40"/>
    <w:link w:val="16"/>
    <w:autoRedefine/>
    <w:qFormat/>
    <w:uiPriority w:val="99"/>
    <w:rPr>
      <w:rFonts w:ascii="Times New Roman" w:hAnsi="Times New Roman" w:eastAsia="宋体" w:cs="Times New Roman"/>
      <w:szCs w:val="21"/>
    </w:rPr>
  </w:style>
  <w:style w:type="character" w:customStyle="1" w:styleId="64">
    <w:name w:val="notnullcss1"/>
    <w:basedOn w:val="40"/>
    <w:autoRedefine/>
    <w:qFormat/>
    <w:uiPriority w:val="99"/>
    <w:rPr>
      <w:rFonts w:eastAsia="宋体" w:cs="Times New Roman"/>
      <w:color w:val="FF0000"/>
      <w:kern w:val="2"/>
      <w:sz w:val="24"/>
      <w:szCs w:val="24"/>
      <w:lang w:val="en-US" w:eastAsia="zh-CN" w:bidi="ar-SA"/>
    </w:rPr>
  </w:style>
  <w:style w:type="paragraph" w:customStyle="1" w:styleId="65">
    <w:name w:val="xl61"/>
    <w:basedOn w:val="1"/>
    <w:autoRedefine/>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6">
    <w:name w:val="纯文本 字符"/>
    <w:basedOn w:val="40"/>
    <w:link w:val="22"/>
    <w:autoRedefine/>
    <w:qFormat/>
    <w:uiPriority w:val="0"/>
    <w:rPr>
      <w:rFonts w:ascii="宋体" w:hAnsi="Courier New" w:eastAsia="宋体" w:cs="Times New Roman"/>
      <w:szCs w:val="20"/>
    </w:rPr>
  </w:style>
  <w:style w:type="character" w:customStyle="1" w:styleId="67">
    <w:name w:val="headline-content2"/>
    <w:basedOn w:val="40"/>
    <w:autoRedefine/>
    <w:qFormat/>
    <w:uiPriority w:val="0"/>
    <w:rPr>
      <w:rFonts w:eastAsia="宋体" w:cs="Times New Roman"/>
      <w:kern w:val="2"/>
      <w:sz w:val="24"/>
      <w:szCs w:val="24"/>
      <w:lang w:val="en-US" w:eastAsia="zh-CN" w:bidi="ar-SA"/>
    </w:rPr>
  </w:style>
  <w:style w:type="character" w:customStyle="1" w:styleId="68">
    <w:name w:val="正文文本 字符"/>
    <w:basedOn w:val="40"/>
    <w:link w:val="18"/>
    <w:autoRedefine/>
    <w:qFormat/>
    <w:uiPriority w:val="99"/>
    <w:rPr>
      <w:rFonts w:ascii="Times New Roman" w:hAnsi="Times New Roman" w:eastAsia="宋体" w:cs="Times New Roman"/>
      <w:szCs w:val="21"/>
    </w:rPr>
  </w:style>
  <w:style w:type="paragraph" w:customStyle="1" w:styleId="69">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0">
    <w:name w:val="日期 字符"/>
    <w:basedOn w:val="40"/>
    <w:link w:val="24"/>
    <w:qFormat/>
    <w:uiPriority w:val="99"/>
    <w:rPr>
      <w:rFonts w:ascii="Times New Roman" w:hAnsi="Times New Roman" w:eastAsia="宋体" w:cs="Times New Roman"/>
      <w:szCs w:val="21"/>
    </w:rPr>
  </w:style>
  <w:style w:type="character" w:customStyle="1" w:styleId="71">
    <w:name w:val="注释标题 字符"/>
    <w:basedOn w:val="40"/>
    <w:link w:val="10"/>
    <w:qFormat/>
    <w:uiPriority w:val="99"/>
    <w:rPr>
      <w:rFonts w:ascii="Times New Roman" w:hAnsi="Times New Roman" w:eastAsia="宋体" w:cs="Times New Roman"/>
      <w:szCs w:val="21"/>
    </w:rPr>
  </w:style>
  <w:style w:type="paragraph" w:customStyle="1" w:styleId="72">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3">
    <w:name w:val="修订1"/>
    <w:hidden/>
    <w:semiHidden/>
    <w:qFormat/>
    <w:uiPriority w:val="99"/>
    <w:rPr>
      <w:rFonts w:ascii="Calibri" w:hAnsi="Calibri" w:eastAsia="宋体" w:cs="Times New Roman"/>
      <w:kern w:val="2"/>
      <w:sz w:val="21"/>
      <w:szCs w:val="22"/>
      <w:lang w:val="en-US" w:eastAsia="zh-CN" w:bidi="ar-SA"/>
    </w:rPr>
  </w:style>
  <w:style w:type="character" w:customStyle="1" w:styleId="74">
    <w:name w:val="正文的样式 Char"/>
    <w:basedOn w:val="40"/>
    <w:link w:val="75"/>
    <w:qFormat/>
    <w:uiPriority w:val="0"/>
    <w:rPr>
      <w:szCs w:val="24"/>
    </w:rPr>
  </w:style>
  <w:style w:type="paragraph" w:customStyle="1" w:styleId="75">
    <w:name w:val="正文的样式"/>
    <w:basedOn w:val="1"/>
    <w:link w:val="74"/>
    <w:autoRedefine/>
    <w:qFormat/>
    <w:uiPriority w:val="0"/>
    <w:pPr>
      <w:spacing w:before="100" w:after="100"/>
    </w:pPr>
    <w:rPr>
      <w:szCs w:val="24"/>
    </w:rPr>
  </w:style>
  <w:style w:type="character" w:customStyle="1" w:styleId="76">
    <w:name w:val="文档结构图 字符"/>
    <w:basedOn w:val="40"/>
    <w:link w:val="13"/>
    <w:semiHidden/>
    <w:qFormat/>
    <w:uiPriority w:val="99"/>
    <w:rPr>
      <w:rFonts w:ascii="宋体" w:hAnsi="Calibri" w:eastAsia="宋体" w:cs="Times New Roman"/>
      <w:sz w:val="18"/>
      <w:szCs w:val="18"/>
    </w:rPr>
  </w:style>
  <w:style w:type="character" w:styleId="77">
    <w:name w:val="Placeholder Text"/>
    <w:basedOn w:val="40"/>
    <w:semiHidden/>
    <w:qFormat/>
    <w:uiPriority w:val="99"/>
    <w:rPr>
      <w:color w:val="auto"/>
    </w:rPr>
  </w:style>
  <w:style w:type="character" w:customStyle="1" w:styleId="78">
    <w:name w:val="标题 字符"/>
    <w:basedOn w:val="40"/>
    <w:link w:val="36"/>
    <w:qFormat/>
    <w:uiPriority w:val="0"/>
    <w:rPr>
      <w:rFonts w:eastAsia="宋体" w:asciiTheme="majorHAnsi" w:hAnsiTheme="majorHAnsi" w:cstheme="majorBidi"/>
      <w:b/>
      <w:bCs/>
      <w:sz w:val="32"/>
      <w:szCs w:val="32"/>
    </w:rPr>
  </w:style>
  <w:style w:type="paragraph" w:styleId="79">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尾注文本 字符"/>
    <w:basedOn w:val="40"/>
    <w:link w:val="25"/>
    <w:semiHidden/>
    <w:qFormat/>
    <w:uiPriority w:val="99"/>
    <w:rPr>
      <w:rFonts w:ascii="宋体" w:hAnsi="宋体" w:eastAsia="宋体" w:cs="宋体"/>
      <w:kern w:val="0"/>
      <w:szCs w:val="24"/>
    </w:rPr>
  </w:style>
  <w:style w:type="character" w:customStyle="1" w:styleId="81">
    <w:name w:val="批注主题 Char1"/>
    <w:basedOn w:val="52"/>
    <w:autoRedefine/>
    <w:semiHidden/>
    <w:qFormat/>
    <w:uiPriority w:val="99"/>
    <w:rPr>
      <w:rFonts w:ascii="Times New Roman" w:hAnsi="Times New Roman" w:eastAsia="宋体" w:cs="Times New Roman"/>
      <w:b/>
      <w:bCs/>
      <w:szCs w:val="21"/>
    </w:rPr>
  </w:style>
  <w:style w:type="character" w:customStyle="1" w:styleId="82">
    <w:name w:val="span_"/>
    <w:basedOn w:val="40"/>
    <w:qFormat/>
    <w:uiPriority w:val="0"/>
  </w:style>
  <w:style w:type="paragraph" w:customStyle="1" w:styleId="83">
    <w:name w:val="标题  3"/>
    <w:basedOn w:val="1"/>
    <w:next w:val="1"/>
    <w:link w:val="84"/>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4">
    <w:name w:val="标题  3 Char"/>
    <w:basedOn w:val="40"/>
    <w:link w:val="83"/>
    <w:qFormat/>
    <w:uiPriority w:val="0"/>
    <w:rPr>
      <w:rFonts w:ascii="Times New Roman" w:hAnsi="Times New Roman" w:eastAsia="宋体" w:cs="Times New Roman"/>
      <w:b/>
      <w:szCs w:val="24"/>
    </w:rPr>
  </w:style>
  <w:style w:type="paragraph" w:customStyle="1" w:styleId="85">
    <w:name w:val="列出段落1"/>
    <w:basedOn w:val="1"/>
    <w:qFormat/>
    <w:uiPriority w:val="0"/>
    <w:pPr>
      <w:ind w:firstLine="420" w:firstLineChars="200"/>
    </w:pPr>
    <w:rPr>
      <w:rFonts w:ascii="Calibri" w:hAnsi="Calibri" w:eastAsia="宋体" w:cs="Calibri"/>
      <w:szCs w:val="21"/>
    </w:rPr>
  </w:style>
  <w:style w:type="paragraph" w:customStyle="1" w:styleId="86">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8">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9">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0">
    <w:name w:val="前言标题"/>
    <w:basedOn w:val="3"/>
    <w:link w:val="92"/>
    <w:autoRedefine/>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1">
    <w:name w:val="前言大标题"/>
    <w:basedOn w:val="2"/>
    <w:link w:val="93"/>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2">
    <w:name w:val="前言标题 Char"/>
    <w:basedOn w:val="40"/>
    <w:link w:val="90"/>
    <w:qFormat/>
    <w:uiPriority w:val="0"/>
    <w:rPr>
      <w:rFonts w:eastAsia="黑体"/>
      <w:bCs/>
      <w:kern w:val="2"/>
      <w:sz w:val="21"/>
      <w:szCs w:val="32"/>
    </w:rPr>
  </w:style>
  <w:style w:type="character" w:customStyle="1" w:styleId="93">
    <w:name w:val="前言大标题 Char"/>
    <w:link w:val="91"/>
    <w:qFormat/>
    <w:uiPriority w:val="0"/>
    <w:rPr>
      <w:rFonts w:eastAsia="黑体"/>
      <w:bCs/>
      <w:kern w:val="44"/>
      <w:sz w:val="32"/>
      <w:szCs w:val="44"/>
    </w:rPr>
  </w:style>
  <w:style w:type="paragraph" w:customStyle="1" w:styleId="94">
    <w:name w:val="Char Char Char Char Char Char Char Char Char Char Char Char Char"/>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Props1.xml><?xml version="1.0" encoding="utf-8"?>
<ds:datastoreItem xmlns:ds="http://schemas.openxmlformats.org/officeDocument/2006/customXml" ds:itemID="{6BC0C85B-024C-49A1-89CA-1A1A3B0F4157}">
  <ds:schemaRefs/>
</ds:datastoreItem>
</file>

<file path=customXml/itemProps2.xml><?xml version="1.0" encoding="utf-8"?>
<ds:datastoreItem xmlns:ds="http://schemas.openxmlformats.org/officeDocument/2006/customXml" ds:itemID="{8C0DEE37-9B9B-4CEF-B415-840BBC3F7C93}">
  <ds:schemaRefs/>
</ds:datastoreItem>
</file>

<file path=customXml/itemProps3.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941</Words>
  <Characters>5367</Characters>
  <Lines>44</Lines>
  <Paragraphs>12</Paragraphs>
  <TotalTime>1</TotalTime>
  <ScaleCrop>false</ScaleCrop>
  <LinksUpToDate>false</LinksUpToDate>
  <CharactersWithSpaces>6296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2022-07-22T02:14:00Z</dcterms:created>
  <dc:creator>Meng Tang</dc:creator>
  <cp:lastModifiedBy>若谷</cp:lastModifiedBy>
  <cp:lastPrinted>2022-08-26T10:15:00Z</cp:lastPrinted>
  <dcterms:modified xsi:type="dcterms:W3CDTF">2023-12-26T02:58:39Z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FDF410CFA5D94F799536ABD19E429611</vt:lpwstr>
  </property>
</Properties>
</file>